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69" w:rsidRPr="002035EA" w:rsidRDefault="006B1769" w:rsidP="002035EA">
      <w:pPr>
        <w:pStyle w:val="Prrafodelista"/>
        <w:keepNext/>
        <w:numPr>
          <w:ilvl w:val="0"/>
          <w:numId w:val="6"/>
        </w:numPr>
        <w:spacing w:after="0" w:line="240" w:lineRule="auto"/>
        <w:outlineLvl w:val="2"/>
        <w:rPr>
          <w:rFonts w:ascii="Soberana Sans Light" w:eastAsia="Calibri" w:hAnsi="Soberana Sans Light" w:cs="Times New Roman"/>
          <w:b/>
          <w:bCs/>
          <w:color w:val="000000"/>
          <w:lang w:eastAsia="es-ES"/>
        </w:rPr>
      </w:pPr>
      <w:bookmarkStart w:id="0" w:name="_Toc388593527"/>
      <w:bookmarkStart w:id="1" w:name="_Toc381087784"/>
      <w:r w:rsidRPr="002035EA">
        <w:rPr>
          <w:rFonts w:ascii="Soberana Sans Light" w:eastAsia="Calibri" w:hAnsi="Soberana Sans Light" w:cs="Times New Roman"/>
          <w:b/>
          <w:bCs/>
          <w:color w:val="000000"/>
          <w:lang w:eastAsia="es-ES"/>
        </w:rPr>
        <w:t>Resumen programas federales</w:t>
      </w:r>
      <w:r w:rsidRPr="002035EA">
        <w:rPr>
          <w:rFonts w:ascii="Soberana Sans Light" w:eastAsia="Calibri" w:hAnsi="Soberana Sans Light" w:cs="Times New Roman"/>
          <w:b/>
          <w:bCs/>
          <w:color w:val="000000"/>
          <w:lang w:eastAsia="es-ES"/>
        </w:rPr>
        <w:t>:</w:t>
      </w:r>
      <w:bookmarkEnd w:id="0"/>
    </w:p>
    <w:p w:rsidR="006B1769" w:rsidRPr="006B1769" w:rsidRDefault="006B1769" w:rsidP="006B1769">
      <w:pPr>
        <w:spacing w:after="120"/>
        <w:jc w:val="both"/>
        <w:rPr>
          <w:rFonts w:ascii="Arial" w:eastAsia="Times New Roman" w:hAnsi="Arial" w:cs="Times New Roman"/>
          <w:szCs w:val="20"/>
          <w:lang w:eastAsia="es-ES"/>
        </w:rPr>
      </w:pPr>
    </w:p>
    <w:p w:rsidR="006B1769" w:rsidRPr="006B1769" w:rsidRDefault="002035EA" w:rsidP="002035EA">
      <w:pPr>
        <w:keepNext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Soberana Sans Light" w:eastAsia="Calibri" w:hAnsi="Soberana Sans Light" w:cs="Times New Roman"/>
          <w:bCs/>
          <w:color w:val="000000"/>
          <w:lang w:eastAsia="es-ES"/>
        </w:rPr>
      </w:pPr>
      <w:bookmarkStart w:id="2" w:name="_Toc388593528"/>
      <w:r>
        <w:rPr>
          <w:rFonts w:ascii="Soberana Sans Light" w:eastAsia="Calibri" w:hAnsi="Soberana Sans Light" w:cs="Times New Roman"/>
          <w:bCs/>
          <w:color w:val="000000"/>
          <w:lang w:eastAsia="es-ES"/>
        </w:rPr>
        <w:t>1.1 P</w:t>
      </w:r>
      <w:r w:rsidR="006B1769" w:rsidRPr="006B1769">
        <w:rPr>
          <w:rFonts w:ascii="Soberana Sans Light" w:eastAsia="Calibri" w:hAnsi="Soberana Sans Light" w:cs="Times New Roman"/>
          <w:bCs/>
          <w:color w:val="000000"/>
          <w:lang w:eastAsia="es-ES"/>
        </w:rPr>
        <w:t>rogramas federalizados</w:t>
      </w:r>
      <w:bookmarkEnd w:id="1"/>
      <w:bookmarkEnd w:id="2"/>
    </w:p>
    <w:p w:rsidR="006B1769" w:rsidRPr="006B1769" w:rsidRDefault="006B1769" w:rsidP="006B1769">
      <w:pPr>
        <w:spacing w:after="120"/>
        <w:jc w:val="both"/>
        <w:rPr>
          <w:rFonts w:ascii="Arial" w:eastAsia="Times New Roman" w:hAnsi="Arial" w:cs="Times New Roman"/>
          <w:szCs w:val="20"/>
          <w:lang w:eastAsia="es-ES"/>
        </w:rPr>
      </w:pP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>Un apoyo importante para promover la prestación del servicio de agua potable y saneamiento consiste en los llamados programas federalizados, que apuntalan con diversos esquemas de financiamiento a fondo perdido, diferentes acciones que permiten la ampliación, modernización, y desarrollo institucional de los propios organismos operadores, que incluyen acciones de operación de obras y servicios de agua potable y saneamiento. La CONAGUA publica las respectivas reglas de operación de esos programas.</w:t>
      </w: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vertAlign w:val="superscript"/>
          <w:lang w:eastAsia="es-ES"/>
        </w:rPr>
        <w:footnoteReference w:id="1"/>
      </w: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keepNext/>
        <w:autoSpaceDE w:val="0"/>
        <w:autoSpaceDN w:val="0"/>
        <w:adjustRightInd w:val="0"/>
        <w:spacing w:after="0"/>
        <w:ind w:left="1800"/>
        <w:jc w:val="both"/>
        <w:outlineLvl w:val="2"/>
        <w:rPr>
          <w:rFonts w:ascii="Soberana Sans Light" w:eastAsia="Calibri" w:hAnsi="Soberana Sans Light" w:cs="Times New Roman"/>
          <w:bCs/>
          <w:i/>
          <w:color w:val="000000"/>
          <w:lang w:eastAsia="es-ES"/>
        </w:rPr>
      </w:pPr>
      <w:bookmarkStart w:id="3" w:name="_Toc335766464"/>
      <w:bookmarkStart w:id="4" w:name="_Toc341823358"/>
      <w:bookmarkStart w:id="5" w:name="_Toc375065118"/>
      <w:bookmarkStart w:id="6" w:name="_Toc375125674"/>
      <w:bookmarkStart w:id="7" w:name="_Toc381087785"/>
      <w:bookmarkStart w:id="8" w:name="_Toc388593529"/>
      <w:r w:rsidRPr="006B1769">
        <w:rPr>
          <w:rFonts w:ascii="Soberana Sans Light" w:eastAsia="Calibri" w:hAnsi="Soberana Sans Light" w:cs="Times New Roman"/>
          <w:bCs/>
          <w:i/>
          <w:color w:val="000000"/>
          <w:lang w:eastAsia="es-ES"/>
        </w:rPr>
        <w:t>Programa de agua potable, alcantarillado y saneamiento a zonas urbanas (APAZU)</w:t>
      </w:r>
      <w:bookmarkEnd w:id="3"/>
      <w:bookmarkEnd w:id="4"/>
      <w:bookmarkEnd w:id="5"/>
      <w:bookmarkEnd w:id="6"/>
      <w:bookmarkEnd w:id="7"/>
      <w:bookmarkEnd w:id="8"/>
    </w:p>
    <w:p w:rsidR="006B1769" w:rsidRPr="006B1769" w:rsidRDefault="006B1769" w:rsidP="006B1769">
      <w:pPr>
        <w:spacing w:after="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>Objetivos: Ampliación de la cobertura de los servicios,  mejoramiento de la eficiencia física y comercial, así como también, apoya acciones para el desarrollo institucional e impulsa acciones de construcción, rehabilitación y conservación de la infraestructura</w:t>
      </w: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spacing w:after="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 xml:space="preserve">Características: </w:t>
      </w:r>
    </w:p>
    <w:p w:rsidR="006B1769" w:rsidRPr="006B1769" w:rsidRDefault="006B1769" w:rsidP="006B1769">
      <w:pPr>
        <w:spacing w:after="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>Apoya, principalmente a poblaciones mayores de 20,000 habitantes, de acuerdo a índices de eficiencia.</w:t>
      </w:r>
    </w:p>
    <w:p w:rsidR="006B1769" w:rsidRPr="006B1769" w:rsidRDefault="006B1769" w:rsidP="006B17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 xml:space="preserve">El programa el financiamiento cuenta con presupuesto por separado </w:t>
      </w:r>
    </w:p>
    <w:p w:rsidR="006B1769" w:rsidRPr="006B1769" w:rsidRDefault="006B1769" w:rsidP="006B17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>Se orientan los apoyos a una planeación integral de las necesidades de los organismos</w:t>
      </w:r>
    </w:p>
    <w:p w:rsidR="006B1769" w:rsidRPr="006B1769" w:rsidRDefault="006B1769" w:rsidP="006B17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>Los criterios de selección se basan en el esquema de puntajes: macro y micro medición, padrón, facturación y cobranza, ampliación de coberturas, sectorización, detección y eliminación de fugas</w:t>
      </w:r>
    </w:p>
    <w:p w:rsidR="006B1769" w:rsidRPr="006B1769" w:rsidRDefault="006B1769" w:rsidP="006B17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 xml:space="preserve">Se integra con mezcla de recursos: federales, estatales, créditos y propios </w:t>
      </w: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keepNext/>
        <w:autoSpaceDE w:val="0"/>
        <w:autoSpaceDN w:val="0"/>
        <w:adjustRightInd w:val="0"/>
        <w:spacing w:after="0"/>
        <w:ind w:left="1800"/>
        <w:jc w:val="both"/>
        <w:outlineLvl w:val="2"/>
        <w:rPr>
          <w:rFonts w:ascii="Soberana Sans Light" w:eastAsia="Calibri" w:hAnsi="Soberana Sans Light" w:cs="Times New Roman"/>
          <w:bCs/>
          <w:i/>
          <w:color w:val="000000"/>
          <w:lang w:eastAsia="es-ES"/>
        </w:rPr>
      </w:pPr>
      <w:bookmarkStart w:id="9" w:name="_Toc335766465"/>
      <w:bookmarkStart w:id="10" w:name="_Toc341823359"/>
      <w:bookmarkStart w:id="11" w:name="_Toc375065119"/>
      <w:bookmarkStart w:id="12" w:name="_Toc375125675"/>
      <w:bookmarkStart w:id="13" w:name="_Toc381087786"/>
      <w:bookmarkStart w:id="14" w:name="_Toc388593530"/>
      <w:r w:rsidRPr="006B1769">
        <w:rPr>
          <w:rFonts w:ascii="Soberana Sans Light" w:eastAsia="Calibri" w:hAnsi="Soberana Sans Light" w:cs="Times New Roman"/>
          <w:bCs/>
          <w:i/>
          <w:color w:val="000000"/>
          <w:lang w:eastAsia="es-ES"/>
        </w:rPr>
        <w:t>Programa para la Modernización de Organismos Operadores de Agua (PROMAGUA</w:t>
      </w:r>
      <w:bookmarkEnd w:id="9"/>
      <w:bookmarkEnd w:id="10"/>
      <w:bookmarkEnd w:id="11"/>
      <w:bookmarkEnd w:id="12"/>
      <w:bookmarkEnd w:id="13"/>
      <w:r w:rsidRPr="006B1769">
        <w:rPr>
          <w:rFonts w:ascii="Soberana Sans Light" w:eastAsia="Calibri" w:hAnsi="Soberana Sans Light" w:cs="Times New Roman"/>
          <w:bCs/>
          <w:i/>
          <w:color w:val="000000"/>
          <w:lang w:eastAsia="es-ES"/>
        </w:rPr>
        <w:t>)</w:t>
      </w:r>
      <w:bookmarkEnd w:id="14"/>
    </w:p>
    <w:p w:rsidR="006B1769" w:rsidRPr="006B1769" w:rsidRDefault="006B1769" w:rsidP="006B1769">
      <w:pPr>
        <w:spacing w:after="120"/>
        <w:jc w:val="both"/>
        <w:rPr>
          <w:rFonts w:ascii="Arial" w:eastAsia="Calibri" w:hAnsi="Arial" w:cs="Times New Roman"/>
          <w:szCs w:val="20"/>
          <w:lang w:eastAsia="es-ES"/>
        </w:rPr>
      </w:pP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 xml:space="preserve">Apoya entidades federativas y municipios, principalmente a poblaciones mayores de 50,000 habitantes, mediante dos fases: </w:t>
      </w: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 xml:space="preserve">Orientada a incrementar las eficiencias y optimizar los activos existentes de los organismos operadores. </w:t>
      </w:r>
    </w:p>
    <w:p w:rsidR="006B1769" w:rsidRPr="006B1769" w:rsidRDefault="006B1769" w:rsidP="006B17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 xml:space="preserve">Financiamiento de inversiones para ampliación de coberturas, dependiendo de la modalidad de participación privada: </w:t>
      </w: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numPr>
          <w:ilvl w:val="0"/>
          <w:numId w:val="2"/>
        </w:numPr>
        <w:spacing w:after="0" w:line="240" w:lineRule="auto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 xml:space="preserve">     Para abastecimiento de agua, hasta el 50% de la inversión inicial </w:t>
      </w:r>
    </w:p>
    <w:p w:rsidR="006B1769" w:rsidRPr="006B1769" w:rsidRDefault="006B1769" w:rsidP="006B1769">
      <w:pPr>
        <w:numPr>
          <w:ilvl w:val="0"/>
          <w:numId w:val="2"/>
        </w:numPr>
        <w:spacing w:after="0" w:line="240" w:lineRule="auto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 xml:space="preserve">     Para saneamiento de agua, hasta el 50% de la inversión inicial </w:t>
      </w:r>
    </w:p>
    <w:p w:rsidR="006B1769" w:rsidRPr="006B1769" w:rsidRDefault="006B1769" w:rsidP="006B1769">
      <w:pPr>
        <w:numPr>
          <w:ilvl w:val="0"/>
          <w:numId w:val="2"/>
        </w:numPr>
        <w:spacing w:after="0" w:line="240" w:lineRule="auto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>Para desalinizadoras, hasta el 40% de la inversión</w:t>
      </w: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vertAlign w:val="superscript"/>
          <w:lang w:eastAsia="es-ES"/>
        </w:rPr>
        <w:footnoteReference w:id="2"/>
      </w:r>
    </w:p>
    <w:p w:rsidR="006B1769" w:rsidRPr="006B1769" w:rsidRDefault="006B1769" w:rsidP="006B1769">
      <w:pPr>
        <w:spacing w:after="0"/>
        <w:ind w:left="72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spacing w:after="0"/>
        <w:ind w:left="72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keepNext/>
        <w:autoSpaceDE w:val="0"/>
        <w:autoSpaceDN w:val="0"/>
        <w:adjustRightInd w:val="0"/>
        <w:spacing w:after="0"/>
        <w:ind w:left="1800"/>
        <w:jc w:val="both"/>
        <w:outlineLvl w:val="2"/>
        <w:rPr>
          <w:rFonts w:ascii="Soberana Sans Light" w:eastAsia="Calibri" w:hAnsi="Soberana Sans Light" w:cs="Times New Roman"/>
          <w:bCs/>
          <w:i/>
          <w:color w:val="000000"/>
          <w:lang w:eastAsia="es-ES"/>
        </w:rPr>
      </w:pPr>
      <w:bookmarkStart w:id="15" w:name="_Toc335766466"/>
      <w:bookmarkStart w:id="16" w:name="_Toc341823360"/>
      <w:bookmarkStart w:id="17" w:name="_Toc375065120"/>
      <w:bookmarkStart w:id="18" w:name="_Toc375125676"/>
      <w:bookmarkStart w:id="19" w:name="_Toc381087787"/>
      <w:bookmarkStart w:id="20" w:name="_Toc388593531"/>
      <w:r w:rsidRPr="006B1769">
        <w:rPr>
          <w:rFonts w:ascii="Soberana Sans Light" w:eastAsia="Calibri" w:hAnsi="Soberana Sans Light" w:cs="Times New Roman"/>
          <w:bCs/>
          <w:i/>
          <w:color w:val="000000"/>
          <w:lang w:eastAsia="es-ES"/>
        </w:rPr>
        <w:t>Programa de devolución de derechos (PRODDER)</w:t>
      </w:r>
      <w:bookmarkEnd w:id="15"/>
      <w:bookmarkEnd w:id="16"/>
      <w:bookmarkEnd w:id="17"/>
      <w:bookmarkEnd w:id="18"/>
      <w:bookmarkEnd w:id="19"/>
      <w:bookmarkEnd w:id="20"/>
    </w:p>
    <w:p w:rsidR="006B1769" w:rsidRPr="006B1769" w:rsidRDefault="006B1769" w:rsidP="006B1769">
      <w:pPr>
        <w:spacing w:after="120"/>
        <w:jc w:val="both"/>
        <w:rPr>
          <w:rFonts w:ascii="Arial" w:eastAsia="Times New Roman" w:hAnsi="Arial" w:cs="Times New Roman"/>
          <w:szCs w:val="20"/>
          <w:lang w:eastAsia="es-ES"/>
        </w:rPr>
      </w:pP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 xml:space="preserve">Tiene como objetivo devolver los derechos pagados por organismos operadores de agua potable y alcantarillado hasta en un 100% con la condición que los propios organismos aporten otro 100% de la inversión total. </w:t>
      </w: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keepNext/>
        <w:autoSpaceDE w:val="0"/>
        <w:autoSpaceDN w:val="0"/>
        <w:adjustRightInd w:val="0"/>
        <w:spacing w:after="0"/>
        <w:ind w:left="1800"/>
        <w:jc w:val="both"/>
        <w:outlineLvl w:val="2"/>
        <w:rPr>
          <w:rFonts w:ascii="Soberana Sans Light" w:eastAsia="Calibri" w:hAnsi="Soberana Sans Light" w:cs="Times New Roman"/>
          <w:bCs/>
          <w:i/>
          <w:color w:val="000000"/>
          <w:lang w:eastAsia="es-ES"/>
        </w:rPr>
      </w:pPr>
      <w:bookmarkStart w:id="21" w:name="_Toc335766467"/>
      <w:bookmarkStart w:id="22" w:name="_Toc341823361"/>
      <w:bookmarkStart w:id="23" w:name="_Toc375065121"/>
      <w:bookmarkStart w:id="24" w:name="_Toc375125677"/>
      <w:bookmarkStart w:id="25" w:name="_Toc381087788"/>
      <w:bookmarkStart w:id="26" w:name="_Toc388593532"/>
      <w:r w:rsidRPr="006B1769">
        <w:rPr>
          <w:rFonts w:ascii="Soberana Sans Light" w:eastAsia="Calibri" w:hAnsi="Soberana Sans Light" w:cs="Times New Roman"/>
          <w:bCs/>
          <w:i/>
          <w:color w:val="000000"/>
          <w:lang w:eastAsia="es-ES"/>
        </w:rPr>
        <w:t>Programa Federal de Saneamiento de Aguas Residuales (PROSANEAR)</w:t>
      </w:r>
      <w:bookmarkEnd w:id="21"/>
      <w:bookmarkEnd w:id="22"/>
      <w:bookmarkEnd w:id="23"/>
      <w:bookmarkEnd w:id="24"/>
      <w:bookmarkEnd w:id="25"/>
      <w:bookmarkEnd w:id="26"/>
    </w:p>
    <w:p w:rsidR="006B1769" w:rsidRPr="006B1769" w:rsidRDefault="006B1769" w:rsidP="006B1769">
      <w:pPr>
        <w:spacing w:after="120"/>
        <w:jc w:val="both"/>
        <w:rPr>
          <w:rFonts w:ascii="Arial" w:eastAsia="Times New Roman" w:hAnsi="Arial" w:cs="Times New Roman"/>
          <w:szCs w:val="20"/>
          <w:lang w:eastAsia="es-ES"/>
        </w:rPr>
      </w:pPr>
    </w:p>
    <w:p w:rsidR="006B1769" w:rsidRPr="006B1769" w:rsidRDefault="006B1769" w:rsidP="006B1769">
      <w:pPr>
        <w:spacing w:after="0"/>
        <w:ind w:left="-357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 xml:space="preserve">Se apoya hasta con el 100% de los derechos pagados de acuerdo al programa de acciones constructivas que se realice y apruebe, de acuerdo a si se está en la etapa de ingeniería básica (15%), proyecto ejecutivo (25%), al concluir la etapa de construcción (50%) o bien si ya la obra está en marcha (10%).  Más adelante se abunda sobre alcances, requisitos y apoyo de este programa </w:t>
      </w: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keepNext/>
        <w:autoSpaceDE w:val="0"/>
        <w:autoSpaceDN w:val="0"/>
        <w:adjustRightInd w:val="0"/>
        <w:spacing w:after="0"/>
        <w:ind w:left="1800"/>
        <w:jc w:val="both"/>
        <w:outlineLvl w:val="2"/>
        <w:rPr>
          <w:rFonts w:ascii="Soberana Sans Light" w:eastAsia="Calibri" w:hAnsi="Soberana Sans Light" w:cs="Times New Roman"/>
          <w:bCs/>
          <w:i/>
          <w:color w:val="000000"/>
          <w:lang w:eastAsia="es-ES"/>
        </w:rPr>
      </w:pPr>
      <w:bookmarkStart w:id="27" w:name="_Toc335766468"/>
      <w:bookmarkStart w:id="28" w:name="_Toc341823362"/>
      <w:bookmarkStart w:id="29" w:name="_Toc375065122"/>
      <w:bookmarkStart w:id="30" w:name="_Toc375125678"/>
      <w:bookmarkStart w:id="31" w:name="_Toc381087789"/>
      <w:bookmarkStart w:id="32" w:name="_Toc388593533"/>
      <w:r w:rsidRPr="006B1769">
        <w:rPr>
          <w:rFonts w:ascii="Soberana Sans Light" w:eastAsia="Calibri" w:hAnsi="Soberana Sans Light" w:cs="Times New Roman"/>
          <w:bCs/>
          <w:i/>
          <w:color w:val="000000"/>
          <w:lang w:eastAsia="es-ES"/>
        </w:rPr>
        <w:t>Programa de operación para el Tratamiento de Aguas Residuales (PROTAR)</w:t>
      </w:r>
      <w:bookmarkEnd w:id="27"/>
      <w:bookmarkEnd w:id="28"/>
      <w:bookmarkEnd w:id="29"/>
      <w:bookmarkEnd w:id="30"/>
      <w:r w:rsidRPr="006B1769">
        <w:rPr>
          <w:rFonts w:ascii="Soberana Sans Light" w:eastAsia="Times New Roman" w:hAnsi="Soberana Sans Light" w:cs="Times New Roman"/>
          <w:bCs/>
          <w:i/>
          <w:iCs/>
          <w:sz w:val="18"/>
          <w:szCs w:val="18"/>
          <w:vertAlign w:val="superscript"/>
          <w:lang w:eastAsia="es-ES"/>
        </w:rPr>
        <w:footnoteReference w:id="3"/>
      </w:r>
      <w:bookmarkEnd w:id="31"/>
      <w:bookmarkEnd w:id="32"/>
    </w:p>
    <w:p w:rsidR="006B1769" w:rsidRPr="006B1769" w:rsidRDefault="006B1769" w:rsidP="006B1769">
      <w:pPr>
        <w:spacing w:after="0"/>
        <w:ind w:left="1134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 xml:space="preserve">Apoyos a nueva infraestructura, acciones correctivas y de infraestructura menor, acciones de fortalecimiento institucional; acciones de rehabilitación de infraestructura de tratamiento. </w:t>
      </w: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bookmarkStart w:id="33" w:name="_Toc335766469"/>
      <w:bookmarkStart w:id="34" w:name="_Toc341823363"/>
      <w:bookmarkStart w:id="35" w:name="_Toc375065123"/>
      <w:bookmarkStart w:id="36" w:name="_Toc375125679"/>
      <w:bookmarkStart w:id="37" w:name="_Toc381087790"/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>Lineamientos del Programa de Incentivos Para la Operación de Plantas de Tratamiento de Aguas Residuales</w:t>
      </w:r>
      <w:bookmarkEnd w:id="33"/>
      <w:bookmarkEnd w:id="34"/>
      <w:bookmarkEnd w:id="35"/>
      <w:bookmarkEnd w:id="36"/>
      <w:bookmarkEnd w:id="37"/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>:</w:t>
      </w: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>Destinados a la operación y mantenimiento de Plantas de Tratamiento de Aguas Residuales (PTAR) de origen Municipal</w:t>
      </w:r>
    </w:p>
    <w:p w:rsidR="006B1769" w:rsidRPr="006B1769" w:rsidRDefault="006B1769" w:rsidP="006B17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 xml:space="preserve">El apoyo se otorga conforme al tamaño de la población servida, la calidad del agua y volumen tratado por la PTAR, y por el volumen que se reúse o intercambie por agua de primer uso. </w:t>
      </w:r>
    </w:p>
    <w:p w:rsidR="006B1769" w:rsidRPr="006B1769" w:rsidRDefault="006B1769" w:rsidP="006B17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>Se paga por m</w:t>
      </w: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vertAlign w:val="superscript"/>
          <w:lang w:eastAsia="es-ES"/>
        </w:rPr>
        <w:t>3</w:t>
      </w: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 xml:space="preserve"> tratado</w:t>
      </w: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 xml:space="preserve">Más adelante se abunda sobre alcances, requisitos y apoyo de este programa </w:t>
      </w:r>
      <w:proofErr w:type="spellStart"/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>concursable</w:t>
      </w:r>
      <w:proofErr w:type="spellEnd"/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 xml:space="preserve"> que apoya la construcción, rehabilitación y operación de plantas de tratamiento.  </w:t>
      </w: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keepNext/>
        <w:autoSpaceDE w:val="0"/>
        <w:autoSpaceDN w:val="0"/>
        <w:adjustRightInd w:val="0"/>
        <w:spacing w:after="0"/>
        <w:ind w:left="1800"/>
        <w:jc w:val="both"/>
        <w:outlineLvl w:val="2"/>
        <w:rPr>
          <w:rFonts w:ascii="Soberana Sans Light" w:eastAsia="Calibri" w:hAnsi="Soberana Sans Light" w:cs="Times New Roman"/>
          <w:bCs/>
          <w:i/>
          <w:color w:val="000000"/>
          <w:lang w:eastAsia="es-ES"/>
        </w:rPr>
      </w:pPr>
      <w:bookmarkStart w:id="38" w:name="_Toc388593534"/>
      <w:r w:rsidRPr="006B1769">
        <w:rPr>
          <w:rFonts w:ascii="Soberana Sans Light" w:eastAsia="Calibri" w:hAnsi="Soberana Sans Light" w:cs="Times New Roman"/>
          <w:bCs/>
          <w:i/>
          <w:color w:val="000000"/>
          <w:lang w:eastAsia="es-ES"/>
        </w:rPr>
        <w:t>Programa de Rehabilitación, Modernización, Tecnificación y Equipamiento de Distritos de Riego, Unidades de Riego y Temporal Tecnificado.</w:t>
      </w:r>
      <w:bookmarkEnd w:id="38"/>
    </w:p>
    <w:p w:rsidR="006B1769" w:rsidRPr="006B1769" w:rsidRDefault="006B1769" w:rsidP="006B1769">
      <w:pPr>
        <w:spacing w:after="120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 xml:space="preserve">Tiene como objetivo utilizar de manera más eficiente el recurso agua, desde la red de conducción y distribución hasta la parcela, mediante acciones de rehabilitación y modernización de la infraestructura </w:t>
      </w:r>
      <w:proofErr w:type="spellStart"/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>hidroagrícola</w:t>
      </w:r>
      <w:proofErr w:type="spellEnd"/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 xml:space="preserve"> concesionada y/o particular administrada por las Asociaciones Civiles de Usuarios (ACU) y/o Sociedades de Responsabilidad Limitada (SRL) en los distritos de riego y tecnificación del riego y con ello contribuir a incrementar la producción agrícola y al desarrollo económico de la población rural.</w:t>
      </w: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>Para ejecutar las acciones de este programa, la CONAGUA podrá aportar hasta el 50% y de manera excepcional el 75% de la inversión autorizada, sin rebasar el presupuesto base autorizado por la institución, dándole preferencia a los módulos de riego que se compacten entre sí o aquellos que adhieren a unidades de riego cercanas a éstos, siempre y cuando no se afecten las concesiones de ambas partes y el porcentaje restante, a través de las ACU o de las SRL beneficiadas, mismo que podrá ser en efectivo o en especie.</w:t>
      </w: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</w:p>
    <w:p w:rsidR="006B1769" w:rsidRPr="006B1769" w:rsidRDefault="006B1769" w:rsidP="006B1769">
      <w:pPr>
        <w:spacing w:after="0"/>
        <w:ind w:left="-360"/>
        <w:jc w:val="both"/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</w:pPr>
      <w:r w:rsidRPr="006B1769">
        <w:rPr>
          <w:rFonts w:ascii="Soberana Sans Light" w:eastAsia="Times New Roman" w:hAnsi="Soberana Sans Light" w:cs="Times New Roman"/>
          <w:bCs/>
          <w:iCs/>
          <w:sz w:val="18"/>
          <w:szCs w:val="18"/>
          <w:lang w:eastAsia="es-ES"/>
        </w:rPr>
        <w:t>Para el caso de aportación en maquinaria y equipo a las ACU o SRL, la CONAGUA podrá realizar el mismo porcentaje de aportaciones que el párrafo anterior.</w:t>
      </w:r>
      <w:bookmarkStart w:id="39" w:name="_GoBack"/>
      <w:bookmarkEnd w:id="39"/>
    </w:p>
    <w:sectPr w:rsidR="006B1769" w:rsidRPr="006B1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69" w:rsidRDefault="006B1769" w:rsidP="006B1769">
      <w:pPr>
        <w:spacing w:after="0" w:line="240" w:lineRule="auto"/>
      </w:pPr>
      <w:r>
        <w:separator/>
      </w:r>
    </w:p>
  </w:endnote>
  <w:endnote w:type="continuationSeparator" w:id="0">
    <w:p w:rsidR="006B1769" w:rsidRDefault="006B1769" w:rsidP="006B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69" w:rsidRDefault="006B1769" w:rsidP="006B1769">
      <w:pPr>
        <w:spacing w:after="0" w:line="240" w:lineRule="auto"/>
      </w:pPr>
      <w:r>
        <w:separator/>
      </w:r>
    </w:p>
  </w:footnote>
  <w:footnote w:type="continuationSeparator" w:id="0">
    <w:p w:rsidR="006B1769" w:rsidRDefault="006B1769" w:rsidP="006B1769">
      <w:pPr>
        <w:spacing w:after="0" w:line="240" w:lineRule="auto"/>
      </w:pPr>
      <w:r>
        <w:continuationSeparator/>
      </w:r>
    </w:p>
  </w:footnote>
  <w:footnote w:id="1">
    <w:p w:rsidR="006B1769" w:rsidRPr="009E20B9" w:rsidRDefault="006B1769" w:rsidP="006B1769">
      <w:pPr>
        <w:pStyle w:val="Textonotapie"/>
        <w:rPr>
          <w:rFonts w:ascii="Arial" w:hAnsi="Arial" w:cs="Arial"/>
          <w:sz w:val="16"/>
          <w:szCs w:val="16"/>
          <w:lang w:eastAsia="es-MX"/>
        </w:rPr>
      </w:pPr>
      <w:r>
        <w:rPr>
          <w:rStyle w:val="Refdenotaalpie"/>
        </w:rPr>
        <w:footnoteRef/>
      </w:r>
      <w:r w:rsidRPr="00B74E6A">
        <w:rPr>
          <w:rFonts w:cs="Arial"/>
          <w:sz w:val="16"/>
          <w:szCs w:val="16"/>
          <w:lang w:eastAsia="es-MX"/>
        </w:rPr>
        <w:t xml:space="preserve">REGLAS de Operación para los </w:t>
      </w:r>
      <w:r w:rsidRPr="009E20B9">
        <w:rPr>
          <w:rFonts w:cs="Arial"/>
          <w:sz w:val="16"/>
          <w:szCs w:val="16"/>
          <w:lang w:eastAsia="es-MX"/>
        </w:rPr>
        <w:t>Progra</w:t>
      </w:r>
      <w:r>
        <w:rPr>
          <w:rFonts w:cs="Arial"/>
          <w:sz w:val="16"/>
          <w:szCs w:val="16"/>
          <w:lang w:eastAsia="es-MX"/>
        </w:rPr>
        <w:t xml:space="preserve">mas de Infraestructura </w:t>
      </w:r>
      <w:proofErr w:type="spellStart"/>
      <w:r>
        <w:rPr>
          <w:rFonts w:cs="Arial"/>
          <w:sz w:val="16"/>
          <w:szCs w:val="16"/>
          <w:lang w:eastAsia="es-MX"/>
        </w:rPr>
        <w:t>Hidroagrí</w:t>
      </w:r>
      <w:r w:rsidRPr="009E20B9">
        <w:rPr>
          <w:rFonts w:cs="Arial"/>
          <w:sz w:val="16"/>
          <w:szCs w:val="16"/>
          <w:lang w:eastAsia="es-MX"/>
        </w:rPr>
        <w:t>cola</w:t>
      </w:r>
      <w:proofErr w:type="spellEnd"/>
      <w:r w:rsidRPr="009E20B9">
        <w:rPr>
          <w:rFonts w:cs="Arial"/>
          <w:sz w:val="16"/>
          <w:szCs w:val="16"/>
          <w:lang w:eastAsia="es-MX"/>
        </w:rPr>
        <w:t xml:space="preserve"> y de Agua Potable, Alcantarillado y Saneamiento a cargo de la Comisión Nacional del Agua, aplicables a partir de 2014.DOF: 27/12/2013.</w:t>
      </w:r>
    </w:p>
  </w:footnote>
  <w:footnote w:id="2">
    <w:p w:rsidR="006B1769" w:rsidRPr="00DC21E6" w:rsidRDefault="006B1769" w:rsidP="006B1769">
      <w:pPr>
        <w:jc w:val="both"/>
        <w:rPr>
          <w:rFonts w:ascii="Soberana Sans Light" w:hAnsi="Soberana Sans Light" w:cs="Arial"/>
          <w:sz w:val="16"/>
          <w:szCs w:val="16"/>
        </w:rPr>
      </w:pPr>
      <w:r w:rsidRPr="009E20B9">
        <w:rPr>
          <w:rStyle w:val="Refdenotaalpie"/>
          <w:rFonts w:ascii="Soberana Sans Light" w:hAnsi="Soberana Sans Light"/>
          <w:sz w:val="16"/>
          <w:szCs w:val="16"/>
        </w:rPr>
        <w:footnoteRef/>
      </w:r>
      <w:r w:rsidRPr="009E20B9">
        <w:rPr>
          <w:rFonts w:ascii="Soberana Sans Light" w:hAnsi="Soberana Sans Light"/>
          <w:sz w:val="16"/>
          <w:szCs w:val="16"/>
        </w:rPr>
        <w:t xml:space="preserve">Para lograr estos apoyos establece como condición contar con una </w:t>
      </w:r>
      <w:r w:rsidRPr="009E20B9">
        <w:rPr>
          <w:rFonts w:ascii="Soberana Sans Light" w:hAnsi="Soberana Sans Light" w:cs="Arial"/>
          <w:sz w:val="16"/>
          <w:szCs w:val="16"/>
        </w:rPr>
        <w:t xml:space="preserve"> eficiencia física mayor al 62% y eficiencia comercial mayor al 75%.De no ser así estará obligado a realizar un proyecto de Mejora Integral de Gestión (MIG) a fin de mejorar su situación técnico-financiera y poder enfrentar </w:t>
      </w:r>
      <w:r w:rsidRPr="009E20B9">
        <w:rPr>
          <w:rFonts w:ascii="Soberana Sans Light" w:hAnsi="Soberana Sans Light"/>
          <w:sz w:val="16"/>
          <w:szCs w:val="16"/>
        </w:rPr>
        <w:t>inversiones relacionadas con incrementos de cobertura y sustitución</w:t>
      </w:r>
      <w:r w:rsidRPr="009E20B9">
        <w:rPr>
          <w:rFonts w:ascii="Soberana Sans Light" w:hAnsi="Soberana Sans Light" w:cs="Arial"/>
          <w:sz w:val="16"/>
          <w:szCs w:val="16"/>
        </w:rPr>
        <w:t xml:space="preserve"> de fuentes.</w:t>
      </w:r>
    </w:p>
  </w:footnote>
  <w:footnote w:id="3">
    <w:p w:rsidR="006B1769" w:rsidRPr="00987BDD" w:rsidRDefault="006B1769" w:rsidP="006B1769">
      <w:pPr>
        <w:pStyle w:val="Textonotapie"/>
        <w:jc w:val="both"/>
        <w:rPr>
          <w:rFonts w:ascii="Times" w:hAnsi="Times"/>
          <w:b/>
          <w:bCs/>
          <w:kern w:val="36"/>
          <w:sz w:val="16"/>
          <w:szCs w:val="16"/>
        </w:rPr>
      </w:pPr>
      <w:r w:rsidRPr="00DC21E6">
        <w:rPr>
          <w:rStyle w:val="Refdenotaalpie"/>
          <w:rFonts w:ascii="Soberana Sans Light" w:hAnsi="Soberana Sans Light"/>
          <w:sz w:val="16"/>
          <w:szCs w:val="16"/>
        </w:rPr>
        <w:footnoteRef/>
      </w:r>
      <w:r>
        <w:rPr>
          <w:rFonts w:ascii="Soberana Sans Light" w:hAnsi="Soberana Sans Light"/>
          <w:bCs/>
          <w:kern w:val="36"/>
          <w:sz w:val="16"/>
          <w:szCs w:val="16"/>
        </w:rPr>
        <w:t>Reglas</w:t>
      </w:r>
      <w:r w:rsidRPr="00DC21E6">
        <w:rPr>
          <w:rFonts w:ascii="Soberana Sans Light" w:hAnsi="Soberana Sans Light"/>
          <w:bCs/>
          <w:kern w:val="36"/>
          <w:sz w:val="16"/>
          <w:szCs w:val="16"/>
        </w:rPr>
        <w:t xml:space="preserve"> de Operación para los Programas de Infraestructura </w:t>
      </w:r>
      <w:proofErr w:type="spellStart"/>
      <w:r w:rsidRPr="00DC21E6">
        <w:rPr>
          <w:rFonts w:ascii="Soberana Sans Light" w:hAnsi="Soberana Sans Light"/>
          <w:bCs/>
          <w:kern w:val="36"/>
          <w:sz w:val="16"/>
          <w:szCs w:val="16"/>
        </w:rPr>
        <w:t>Hidroagrícola</w:t>
      </w:r>
      <w:proofErr w:type="spellEnd"/>
      <w:r w:rsidRPr="00DC21E6">
        <w:rPr>
          <w:rFonts w:ascii="Soberana Sans Light" w:hAnsi="Soberana Sans Light"/>
          <w:bCs/>
          <w:kern w:val="36"/>
          <w:sz w:val="16"/>
          <w:szCs w:val="16"/>
        </w:rPr>
        <w:t xml:space="preserve"> y de Agua Potable, Alcantarillado y saneamiento a cargo de la Comisión Nacional del Agua, aplicables a partir de 2014.DOF: 27/12/2013.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F6E"/>
    <w:multiLevelType w:val="hybridMultilevel"/>
    <w:tmpl w:val="397A6D46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755A7"/>
    <w:multiLevelType w:val="hybridMultilevel"/>
    <w:tmpl w:val="76B44E8A"/>
    <w:lvl w:ilvl="0" w:tplc="62F6FFF4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/>
        <w:caps w:val="0"/>
        <w:strike w:val="0"/>
        <w:dstrike w:val="0"/>
        <w:vanish w:val="0"/>
        <w:color w:val="auto"/>
        <w:sz w:val="24"/>
        <w:vertAlign w:val="baseline"/>
      </w:rPr>
    </w:lvl>
    <w:lvl w:ilvl="1" w:tplc="EADEE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CAE65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CC9C2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E918C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03261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AE86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8C367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522E1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2">
    <w:nsid w:val="211C698A"/>
    <w:multiLevelType w:val="hybridMultilevel"/>
    <w:tmpl w:val="C1125BA6"/>
    <w:lvl w:ilvl="0" w:tplc="3A624D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7D85436"/>
    <w:multiLevelType w:val="hybridMultilevel"/>
    <w:tmpl w:val="C34E0B20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116AE7"/>
    <w:multiLevelType w:val="hybridMultilevel"/>
    <w:tmpl w:val="D9985FCE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3F6E80"/>
    <w:multiLevelType w:val="multilevel"/>
    <w:tmpl w:val="0B622232"/>
    <w:lvl w:ilvl="0">
      <w:start w:val="1"/>
      <w:numFmt w:val="decimal"/>
      <w:pStyle w:val="WHead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69"/>
    <w:rsid w:val="002035EA"/>
    <w:rsid w:val="00640193"/>
    <w:rsid w:val="006B1769"/>
    <w:rsid w:val="007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Head1">
    <w:name w:val="W Head1"/>
    <w:basedOn w:val="Normal"/>
    <w:next w:val="Normal"/>
    <w:autoRedefine/>
    <w:rsid w:val="006B1769"/>
    <w:pPr>
      <w:keepNext/>
      <w:keepLines/>
      <w:numPr>
        <w:numId w:val="1"/>
      </w:numPr>
      <w:suppressLineNumbers/>
      <w:suppressAutoHyphens/>
      <w:spacing w:after="0" w:line="240" w:lineRule="auto"/>
      <w:jc w:val="both"/>
      <w:outlineLvl w:val="0"/>
    </w:pPr>
    <w:rPr>
      <w:rFonts w:ascii="Soberana Sans Light" w:eastAsia="Times New Roman" w:hAnsi="Soberana Sans Light" w:cs="Times New Roman"/>
      <w:b/>
      <w:sz w:val="24"/>
      <w:szCs w:val="24"/>
      <w:lang w:eastAsia="es-ES"/>
    </w:rPr>
  </w:style>
  <w:style w:type="paragraph" w:styleId="Textonotapie">
    <w:name w:val="footnote text"/>
    <w:basedOn w:val="Normal"/>
    <w:link w:val="TextonotapieCar1"/>
    <w:rsid w:val="006B1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uiPriority w:val="99"/>
    <w:semiHidden/>
    <w:rsid w:val="006B1769"/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rsid w:val="006B176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6B1769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3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Head1">
    <w:name w:val="W Head1"/>
    <w:basedOn w:val="Normal"/>
    <w:next w:val="Normal"/>
    <w:autoRedefine/>
    <w:rsid w:val="006B1769"/>
    <w:pPr>
      <w:keepNext/>
      <w:keepLines/>
      <w:numPr>
        <w:numId w:val="1"/>
      </w:numPr>
      <w:suppressLineNumbers/>
      <w:suppressAutoHyphens/>
      <w:spacing w:after="0" w:line="240" w:lineRule="auto"/>
      <w:jc w:val="both"/>
      <w:outlineLvl w:val="0"/>
    </w:pPr>
    <w:rPr>
      <w:rFonts w:ascii="Soberana Sans Light" w:eastAsia="Times New Roman" w:hAnsi="Soberana Sans Light" w:cs="Times New Roman"/>
      <w:b/>
      <w:sz w:val="24"/>
      <w:szCs w:val="24"/>
      <w:lang w:eastAsia="es-ES"/>
    </w:rPr>
  </w:style>
  <w:style w:type="paragraph" w:styleId="Textonotapie">
    <w:name w:val="footnote text"/>
    <w:basedOn w:val="Normal"/>
    <w:link w:val="TextonotapieCar1"/>
    <w:rsid w:val="006B1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uiPriority w:val="99"/>
    <w:semiHidden/>
    <w:rsid w:val="006B1769"/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rsid w:val="006B176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6B1769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2014-08-31T01:09:00Z</dcterms:created>
  <dcterms:modified xsi:type="dcterms:W3CDTF">2014-08-31T01:11:00Z</dcterms:modified>
</cp:coreProperties>
</file>