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85" w:rsidRPr="0041104E" w:rsidRDefault="00834EFD" w:rsidP="00F87085">
      <w:pPr>
        <w:pStyle w:val="Puesto"/>
        <w:rPr>
          <w:sz w:val="48"/>
        </w:rPr>
      </w:pPr>
      <w:bookmarkStart w:id="0" w:name="_GoBack"/>
      <w:bookmarkEnd w:id="0"/>
      <w:r>
        <w:rPr>
          <w:sz w:val="48"/>
        </w:rPr>
        <w:t>Gestión y Manejo Integrado de los Recursos Hídricos</w:t>
      </w:r>
    </w:p>
    <w:p w:rsidR="00F87085" w:rsidRPr="00F87085" w:rsidRDefault="00F87085" w:rsidP="00F87085"/>
    <w:tbl>
      <w:tblPr>
        <w:tblStyle w:val="Tabladecuadrcula5oscura-nfasis2"/>
        <w:tblW w:w="0" w:type="auto"/>
        <w:tblLook w:val="0680" w:firstRow="0" w:lastRow="0" w:firstColumn="1" w:lastColumn="0" w:noHBand="1" w:noVBand="1"/>
      </w:tblPr>
      <w:tblGrid>
        <w:gridCol w:w="2547"/>
        <w:gridCol w:w="6281"/>
      </w:tblGrid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Objetivo General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834EFD" w:rsidP="00834E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Comprender el modelo de gestión integrada de los recursos hídricos, sus implicaciones para los sectores usuarios y el marco institucional que da soporte en México al manejo integrado del agua, e identificar el papel de la Dirección Local Querétaro en este proceso.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Alcance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CA1F0A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Transmitir los conceptos básicos de la GIRH y sus implicaciones para la administración de las aguas nacionales y la interacción de los sectores usuarios</w:t>
            </w:r>
          </w:p>
          <w:p w:rsidR="00CA1F0A" w:rsidRDefault="00CA1F0A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Identificar los elementos legales, institucionales y programáticos del sector hídrico mexicano que dan marco a la GIRH</w:t>
            </w:r>
          </w:p>
          <w:p w:rsidR="00CA1F0A" w:rsidRDefault="00CA1F0A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Analizar el Programa Hídrico de la administración y sus implicaciones para el desarrollo de las actividades en la Dirección Local Querétaro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Duración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834EFD" w:rsidP="004110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603BDD">
              <w:t xml:space="preserve"> horas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Sesiones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834EFD" w:rsidP="004110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603BDD">
              <w:t xml:space="preserve"> sesiones de 4 horas cada una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Fechas propuestas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603BDD" w:rsidP="004110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definir con el cliente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Recursos didácticos de apoyo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Mapas mentales</w:t>
            </w:r>
          </w:p>
          <w:p w:rsidR="00603BDD" w:rsidRDefault="00834EF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de CAPNET (UNDP)</w:t>
            </w:r>
          </w:p>
          <w:p w:rsidR="00603BDD" w:rsidRDefault="00834EF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Dinámicas de grupo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 xml:space="preserve">Material didáctico 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Copia de las diapositivas en papel y formato PDF</w:t>
            </w:r>
          </w:p>
          <w:p w:rsidR="00CA1F0A" w:rsidRDefault="00CA1F0A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Versiones PDF de la bibliografía disponible</w:t>
            </w:r>
          </w:p>
        </w:tc>
      </w:tr>
      <w:tr w:rsidR="00603BDD" w:rsidTr="00411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ED7D31"/>
            </w:tcBorders>
          </w:tcPr>
          <w:p w:rsidR="00603BDD" w:rsidRDefault="00603BDD" w:rsidP="0041104E">
            <w:pPr>
              <w:spacing w:before="120" w:after="120"/>
            </w:pPr>
            <w:r>
              <w:t>Recursos para las sesiones</w:t>
            </w:r>
          </w:p>
        </w:tc>
        <w:tc>
          <w:tcPr>
            <w:tcW w:w="628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Cañón</w:t>
            </w:r>
          </w:p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Pintarrón</w:t>
            </w:r>
          </w:p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Plumones</w:t>
            </w:r>
          </w:p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Borrador</w:t>
            </w:r>
          </w:p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Sillas y mesas (de preferencia esquema en herradura)</w:t>
            </w:r>
          </w:p>
          <w:p w:rsidR="00603BDD" w:rsidRDefault="00603BDD" w:rsidP="0041104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Copias fotostáticas de los ejercicios para cada participante</w:t>
            </w:r>
          </w:p>
        </w:tc>
      </w:tr>
    </w:tbl>
    <w:p w:rsidR="00603BDD" w:rsidRDefault="00603BDD"/>
    <w:p w:rsidR="0041104E" w:rsidRDefault="0041104E"/>
    <w:p w:rsidR="00603BDD" w:rsidRPr="00F87085" w:rsidRDefault="00603BDD" w:rsidP="00F87085">
      <w:pPr>
        <w:shd w:val="clear" w:color="auto" w:fill="ED7D31" w:themeFill="accent2"/>
        <w:rPr>
          <w:b/>
          <w:color w:val="FFFFFF" w:themeColor="background1"/>
          <w:sz w:val="28"/>
        </w:rPr>
      </w:pPr>
      <w:r w:rsidRPr="00F87085">
        <w:rPr>
          <w:b/>
          <w:color w:val="FFFFFF" w:themeColor="background1"/>
          <w:sz w:val="28"/>
        </w:rPr>
        <w:lastRenderedPageBreak/>
        <w:t>Temario del curso</w:t>
      </w:r>
    </w:p>
    <w:p w:rsidR="00603BDD" w:rsidRPr="00650F2C" w:rsidRDefault="00603BDD" w:rsidP="00603BDD">
      <w:pPr>
        <w:spacing w:before="60" w:after="60" w:line="22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Introducción general</w:t>
      </w:r>
    </w:p>
    <w:p w:rsidR="00603BDD" w:rsidRPr="00650F2C" w:rsidRDefault="00603BDD" w:rsidP="00603BDD">
      <w:pPr>
        <w:spacing w:before="60" w:after="60" w:line="22" w:lineRule="atLeast"/>
        <w:jc w:val="both"/>
        <w:rPr>
          <w:rFonts w:cs="Arial"/>
          <w:b/>
          <w:i/>
          <w:sz w:val="24"/>
          <w:szCs w:val="24"/>
          <w:lang w:val="es-ES_tradnl"/>
        </w:rPr>
      </w:pPr>
      <w:r w:rsidRPr="00650F2C">
        <w:rPr>
          <w:rFonts w:cs="Arial"/>
          <w:b/>
          <w:i/>
          <w:sz w:val="24"/>
          <w:szCs w:val="24"/>
          <w:lang w:val="es-ES_tradnl"/>
        </w:rPr>
        <w:t>PARTE</w:t>
      </w:r>
      <w:r w:rsidR="00834EFD">
        <w:rPr>
          <w:rFonts w:cs="Arial"/>
          <w:b/>
          <w:i/>
          <w:sz w:val="24"/>
          <w:szCs w:val="24"/>
          <w:lang w:val="es-ES_tradnl"/>
        </w:rPr>
        <w:t xml:space="preserve"> UNO</w:t>
      </w:r>
      <w:r w:rsidR="00C2021A">
        <w:rPr>
          <w:rFonts w:cs="Arial"/>
          <w:b/>
          <w:i/>
          <w:sz w:val="24"/>
          <w:szCs w:val="24"/>
          <w:lang w:val="es-ES_tradnl"/>
        </w:rPr>
        <w:t xml:space="preserve"> – CONCEPTOS GENERALES DE LA GIRH</w:t>
      </w:r>
      <w:r w:rsidR="00CA1F0A">
        <w:rPr>
          <w:rFonts w:cs="Arial"/>
          <w:b/>
          <w:i/>
          <w:sz w:val="24"/>
          <w:szCs w:val="24"/>
          <w:lang w:val="es-ES_tradnl"/>
        </w:rPr>
        <w:t xml:space="preserve"> (Aprox. 25% del tiempo)</w:t>
      </w:r>
    </w:p>
    <w:p w:rsidR="00603BDD" w:rsidRPr="00650F2C" w:rsidRDefault="00603BDD" w:rsidP="00603BDD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 w:rsidRPr="00650F2C">
        <w:rPr>
          <w:rFonts w:cs="Arial"/>
          <w:b/>
          <w:sz w:val="24"/>
          <w:szCs w:val="24"/>
          <w:lang w:val="es-ES_tradnl"/>
        </w:rPr>
        <w:t>1.</w:t>
      </w:r>
      <w:r w:rsidRPr="00650F2C">
        <w:rPr>
          <w:rFonts w:cs="Arial"/>
          <w:b/>
          <w:sz w:val="24"/>
          <w:szCs w:val="24"/>
          <w:lang w:val="es-ES_tradnl"/>
        </w:rPr>
        <w:tab/>
      </w:r>
      <w:r w:rsidR="00834EFD">
        <w:rPr>
          <w:rFonts w:cs="Arial"/>
          <w:b/>
          <w:sz w:val="24"/>
          <w:szCs w:val="24"/>
          <w:lang w:val="es-ES_tradnl"/>
        </w:rPr>
        <w:t>Conceptos básicos de la Gestión Integrada de los Recursos Hídricos (GIRH)</w:t>
      </w:r>
    </w:p>
    <w:p w:rsidR="00603BDD" w:rsidRDefault="00603BDD" w:rsidP="00834EFD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 w:rsidRPr="00650F2C">
        <w:rPr>
          <w:rFonts w:cs="Arial"/>
          <w:sz w:val="24"/>
          <w:szCs w:val="24"/>
          <w:lang w:val="es-ES_tradnl"/>
        </w:rPr>
        <w:t>1.1</w:t>
      </w:r>
      <w:r w:rsidRPr="00650F2C">
        <w:rPr>
          <w:rFonts w:cs="Arial"/>
          <w:sz w:val="24"/>
          <w:szCs w:val="24"/>
          <w:lang w:val="es-ES_tradnl"/>
        </w:rPr>
        <w:tab/>
      </w:r>
      <w:r w:rsidR="00834EFD">
        <w:rPr>
          <w:rFonts w:cs="Arial"/>
          <w:sz w:val="24"/>
          <w:szCs w:val="24"/>
          <w:lang w:val="es-ES_tradnl"/>
        </w:rPr>
        <w:t>La GIRH – conceptos generales</w:t>
      </w:r>
    </w:p>
    <w:p w:rsidR="00834EFD" w:rsidRDefault="00834EFD" w:rsidP="00834EFD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1.2</w:t>
      </w:r>
      <w:r>
        <w:rPr>
          <w:rFonts w:cs="Arial"/>
          <w:sz w:val="24"/>
          <w:szCs w:val="24"/>
          <w:lang w:val="es-ES_tradnl"/>
        </w:rPr>
        <w:tab/>
        <w:t>Medio Ambiente y GIRH</w:t>
      </w:r>
    </w:p>
    <w:p w:rsidR="00834EFD" w:rsidRDefault="00834EFD" w:rsidP="00834EFD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1.3</w:t>
      </w:r>
      <w:r>
        <w:rPr>
          <w:rFonts w:cs="Arial"/>
          <w:sz w:val="24"/>
          <w:szCs w:val="24"/>
          <w:lang w:val="es-ES_tradnl"/>
        </w:rPr>
        <w:tab/>
        <w:t>Agricultura y GIRH</w:t>
      </w:r>
    </w:p>
    <w:p w:rsidR="00834EFD" w:rsidRDefault="00834EFD" w:rsidP="00834EFD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1.4</w:t>
      </w:r>
      <w:r>
        <w:rPr>
          <w:rFonts w:cs="Arial"/>
          <w:sz w:val="24"/>
          <w:szCs w:val="24"/>
          <w:lang w:val="es-ES_tradnl"/>
        </w:rPr>
        <w:tab/>
        <w:t>Usos públicos urbano y rural y GIRH</w:t>
      </w:r>
    </w:p>
    <w:p w:rsidR="00834EFD" w:rsidRPr="00834EFD" w:rsidRDefault="00834EFD" w:rsidP="00834EFD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</w:p>
    <w:p w:rsidR="00603BDD" w:rsidRPr="00650F2C" w:rsidRDefault="00603BDD" w:rsidP="00603BDD">
      <w:pPr>
        <w:spacing w:before="60" w:after="60" w:line="22" w:lineRule="atLeast"/>
        <w:jc w:val="both"/>
        <w:rPr>
          <w:rFonts w:cs="Arial"/>
          <w:b/>
          <w:i/>
          <w:sz w:val="24"/>
          <w:szCs w:val="24"/>
          <w:lang w:val="es-ES_tradnl"/>
        </w:rPr>
      </w:pPr>
      <w:r w:rsidRPr="00650F2C">
        <w:rPr>
          <w:rFonts w:cs="Arial"/>
          <w:b/>
          <w:i/>
          <w:sz w:val="24"/>
          <w:szCs w:val="24"/>
          <w:lang w:val="es-ES_tradnl"/>
        </w:rPr>
        <w:t xml:space="preserve">PARTE </w:t>
      </w:r>
      <w:r>
        <w:rPr>
          <w:rFonts w:cs="Arial"/>
          <w:b/>
          <w:i/>
          <w:sz w:val="24"/>
          <w:szCs w:val="24"/>
          <w:lang w:val="es-ES_tradnl"/>
        </w:rPr>
        <w:t>DOS</w:t>
      </w:r>
      <w:r w:rsidR="00C2021A">
        <w:rPr>
          <w:rFonts w:cs="Arial"/>
          <w:b/>
          <w:i/>
          <w:sz w:val="24"/>
          <w:szCs w:val="24"/>
          <w:lang w:val="es-ES_tradnl"/>
        </w:rPr>
        <w:t xml:space="preserve"> – LA GIRH EN EL MARCO INSTITUCIONAL MEXICANO</w:t>
      </w:r>
      <w:r w:rsidR="00CA1F0A">
        <w:rPr>
          <w:rFonts w:cs="Arial"/>
          <w:b/>
          <w:i/>
          <w:sz w:val="24"/>
          <w:szCs w:val="24"/>
          <w:lang w:val="es-ES_tradnl"/>
        </w:rPr>
        <w:t xml:space="preserve"> (Aprox. 50% del tiempo)</w:t>
      </w:r>
    </w:p>
    <w:p w:rsidR="00C2021A" w:rsidRDefault="00C2021A" w:rsidP="00C2021A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2.</w:t>
      </w:r>
      <w:r>
        <w:rPr>
          <w:rFonts w:cs="Arial"/>
          <w:b/>
          <w:sz w:val="24"/>
          <w:szCs w:val="24"/>
          <w:lang w:val="es-ES_tradnl"/>
        </w:rPr>
        <w:tab/>
        <w:t>El marco legal e institucional mexicano para la GIRH</w:t>
      </w:r>
    </w:p>
    <w:p w:rsidR="00C2021A" w:rsidRDefault="00C2021A" w:rsidP="00C2021A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2.1</w:t>
      </w:r>
      <w:r>
        <w:rPr>
          <w:rFonts w:cs="Arial"/>
          <w:sz w:val="24"/>
          <w:szCs w:val="24"/>
          <w:lang w:val="es-ES_tradnl"/>
        </w:rPr>
        <w:tab/>
        <w:t>Marco constitucional, legal y reglamentario de la GIRH</w:t>
      </w:r>
    </w:p>
    <w:p w:rsidR="00C2021A" w:rsidRDefault="00C2021A" w:rsidP="00C2021A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2.2</w:t>
      </w:r>
      <w:r>
        <w:rPr>
          <w:rFonts w:cs="Arial"/>
          <w:sz w:val="24"/>
          <w:szCs w:val="24"/>
          <w:lang w:val="es-ES_tradnl"/>
        </w:rPr>
        <w:tab/>
        <w:t>Ámbitos institucionales y organizaciones gubernamentales que participan en la GIRH</w:t>
      </w:r>
    </w:p>
    <w:p w:rsidR="00C2021A" w:rsidRDefault="00C2021A" w:rsidP="00C2021A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2.3</w:t>
      </w:r>
      <w:r>
        <w:rPr>
          <w:rFonts w:cs="Arial"/>
          <w:sz w:val="24"/>
          <w:szCs w:val="24"/>
          <w:lang w:val="es-ES_tradnl"/>
        </w:rPr>
        <w:tab/>
        <w:t>Sectores económicos y su participación en la GIRH</w:t>
      </w:r>
    </w:p>
    <w:p w:rsidR="00C2021A" w:rsidRPr="00CA1F0A" w:rsidRDefault="00C2021A" w:rsidP="00C2021A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 w:rsidRPr="00CA1F0A">
        <w:rPr>
          <w:rFonts w:cs="Arial"/>
          <w:b/>
          <w:sz w:val="24"/>
          <w:szCs w:val="24"/>
          <w:lang w:val="es-ES_tradnl"/>
        </w:rPr>
        <w:t>3.</w:t>
      </w:r>
      <w:r w:rsidRPr="00CA1F0A">
        <w:rPr>
          <w:rFonts w:cs="Arial"/>
          <w:b/>
          <w:sz w:val="24"/>
          <w:szCs w:val="24"/>
          <w:lang w:val="es-ES_tradnl"/>
        </w:rPr>
        <w:tab/>
        <w:t>Aspectos económicos de la GIRH</w:t>
      </w:r>
    </w:p>
    <w:p w:rsidR="000041B0" w:rsidRPr="00CA1F0A" w:rsidRDefault="00C2021A" w:rsidP="000041B0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3.1</w:t>
      </w:r>
      <w:r w:rsidRPr="00CA1F0A">
        <w:rPr>
          <w:rFonts w:cs="Arial"/>
          <w:sz w:val="24"/>
          <w:szCs w:val="24"/>
          <w:lang w:val="es-ES_tradnl"/>
        </w:rPr>
        <w:tab/>
      </w:r>
      <w:r w:rsidR="000041B0" w:rsidRPr="00CA1F0A">
        <w:rPr>
          <w:rFonts w:cs="Arial"/>
          <w:sz w:val="24"/>
          <w:szCs w:val="24"/>
          <w:lang w:val="es-ES_tradnl"/>
        </w:rPr>
        <w:t>Valor económico del agua: bien económico vs bien social</w:t>
      </w:r>
    </w:p>
    <w:p w:rsidR="000041B0" w:rsidRPr="00CA1F0A" w:rsidRDefault="00C2021A" w:rsidP="000041B0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3.2</w:t>
      </w:r>
      <w:r w:rsidRPr="00CA1F0A">
        <w:rPr>
          <w:rFonts w:cs="Arial"/>
          <w:sz w:val="24"/>
          <w:szCs w:val="24"/>
          <w:lang w:val="es-ES_tradnl"/>
        </w:rPr>
        <w:tab/>
      </w:r>
      <w:r w:rsidR="000041B0" w:rsidRPr="00CA1F0A">
        <w:rPr>
          <w:rFonts w:cs="Arial"/>
          <w:sz w:val="24"/>
          <w:szCs w:val="24"/>
          <w:lang w:val="es-ES_tradnl"/>
        </w:rPr>
        <w:t>Instrumentos económicos y financieros para la gestión integrada de recursos hídricos</w:t>
      </w:r>
    </w:p>
    <w:p w:rsidR="000041B0" w:rsidRDefault="000041B0" w:rsidP="000041B0">
      <w:pPr>
        <w:tabs>
          <w:tab w:val="left" w:pos="840"/>
        </w:tabs>
        <w:spacing w:before="60" w:after="60" w:line="22" w:lineRule="atLeast"/>
        <w:ind w:left="840" w:hanging="48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3.3</w:t>
      </w:r>
      <w:r w:rsidRPr="00CA1F0A">
        <w:rPr>
          <w:rFonts w:cs="Arial"/>
          <w:sz w:val="24"/>
          <w:szCs w:val="24"/>
          <w:lang w:val="es-ES_tradnl"/>
        </w:rPr>
        <w:tab/>
        <w:t>Los instrumentos económicos y financieros previstos en la Ley de Aguas Nacionales</w:t>
      </w:r>
    </w:p>
    <w:p w:rsidR="00603BDD" w:rsidRPr="00650F2C" w:rsidRDefault="002B6544" w:rsidP="00603BDD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4</w:t>
      </w:r>
      <w:r w:rsidR="00603BDD" w:rsidRPr="00650F2C">
        <w:rPr>
          <w:rFonts w:cs="Arial"/>
          <w:b/>
          <w:sz w:val="24"/>
          <w:szCs w:val="24"/>
          <w:lang w:val="es-ES_tradnl"/>
        </w:rPr>
        <w:t>.</w:t>
      </w:r>
      <w:r w:rsidR="00603BDD" w:rsidRPr="00650F2C">
        <w:rPr>
          <w:rFonts w:cs="Arial"/>
          <w:b/>
          <w:sz w:val="24"/>
          <w:szCs w:val="24"/>
          <w:lang w:val="es-ES_tradnl"/>
        </w:rPr>
        <w:tab/>
      </w:r>
      <w:r w:rsidR="003871F7">
        <w:rPr>
          <w:rFonts w:cs="Arial"/>
          <w:b/>
          <w:sz w:val="24"/>
          <w:szCs w:val="24"/>
          <w:lang w:val="es-ES_tradnl"/>
        </w:rPr>
        <w:t>Mecanismos de coordinación y concertación</w:t>
      </w:r>
    </w:p>
    <w:p w:rsidR="00603BDD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</w:t>
      </w:r>
      <w:r w:rsidR="00603BDD" w:rsidRPr="00650F2C">
        <w:rPr>
          <w:rFonts w:cs="Arial"/>
          <w:sz w:val="24"/>
          <w:szCs w:val="24"/>
          <w:lang w:val="es-ES_tradnl"/>
        </w:rPr>
        <w:t>.1</w:t>
      </w:r>
      <w:r w:rsidR="00603BDD" w:rsidRPr="00650F2C">
        <w:rPr>
          <w:rFonts w:cs="Arial"/>
          <w:sz w:val="24"/>
          <w:szCs w:val="24"/>
          <w:lang w:val="es-ES_tradnl"/>
        </w:rPr>
        <w:tab/>
      </w:r>
      <w:r w:rsidR="00C2021A">
        <w:rPr>
          <w:rFonts w:cs="Arial"/>
          <w:sz w:val="24"/>
          <w:szCs w:val="24"/>
          <w:lang w:val="es-ES_tradnl"/>
        </w:rPr>
        <w:t>Consejos de Cuenca</w:t>
      </w:r>
    </w:p>
    <w:p w:rsidR="00C2021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</w:t>
      </w:r>
      <w:r w:rsidR="00C2021A">
        <w:rPr>
          <w:rFonts w:cs="Arial"/>
          <w:sz w:val="24"/>
          <w:szCs w:val="24"/>
          <w:lang w:val="es-ES_tradnl"/>
        </w:rPr>
        <w:t>.2</w:t>
      </w:r>
      <w:r w:rsidR="00C2021A">
        <w:rPr>
          <w:rFonts w:cs="Arial"/>
          <w:sz w:val="24"/>
          <w:szCs w:val="24"/>
          <w:lang w:val="es-ES_tradnl"/>
        </w:rPr>
        <w:tab/>
        <w:t>COTAS</w:t>
      </w:r>
    </w:p>
    <w:p w:rsidR="00C2021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</w:t>
      </w:r>
      <w:r w:rsidR="00C2021A">
        <w:rPr>
          <w:rFonts w:cs="Arial"/>
          <w:sz w:val="24"/>
          <w:szCs w:val="24"/>
          <w:lang w:val="es-ES_tradnl"/>
        </w:rPr>
        <w:t>.3</w:t>
      </w:r>
      <w:r w:rsidR="00C2021A">
        <w:rPr>
          <w:rFonts w:cs="Arial"/>
          <w:sz w:val="24"/>
          <w:szCs w:val="24"/>
          <w:lang w:val="es-ES_tradnl"/>
        </w:rPr>
        <w:tab/>
        <w:t>Convenios y Acuerdos de Coordinación</w:t>
      </w:r>
    </w:p>
    <w:p w:rsidR="00C2021A" w:rsidRPr="00650F2C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</w:t>
      </w:r>
      <w:r w:rsidR="00C2021A">
        <w:rPr>
          <w:rFonts w:cs="Arial"/>
          <w:sz w:val="24"/>
          <w:szCs w:val="24"/>
          <w:lang w:val="es-ES_tradnl"/>
        </w:rPr>
        <w:t>.4</w:t>
      </w:r>
      <w:r w:rsidR="00C2021A">
        <w:rPr>
          <w:rFonts w:cs="Arial"/>
          <w:sz w:val="24"/>
          <w:szCs w:val="24"/>
          <w:lang w:val="es-ES_tradnl"/>
        </w:rPr>
        <w:tab/>
        <w:t>Comisiones de Regulación y Seguimiento</w:t>
      </w:r>
    </w:p>
    <w:p w:rsidR="000041B0" w:rsidRDefault="000041B0" w:rsidP="00603BDD">
      <w:pPr>
        <w:spacing w:before="60" w:after="60" w:line="22" w:lineRule="atLeast"/>
        <w:jc w:val="both"/>
        <w:rPr>
          <w:rFonts w:cs="Arial"/>
          <w:b/>
          <w:i/>
          <w:sz w:val="24"/>
          <w:szCs w:val="24"/>
          <w:lang w:val="es-ES_tradnl"/>
        </w:rPr>
      </w:pPr>
    </w:p>
    <w:p w:rsidR="00603BDD" w:rsidRPr="00650F2C" w:rsidRDefault="00603BDD" w:rsidP="00603BDD">
      <w:pPr>
        <w:spacing w:before="60" w:after="60" w:line="22" w:lineRule="atLeast"/>
        <w:jc w:val="both"/>
        <w:rPr>
          <w:rFonts w:cs="Arial"/>
          <w:b/>
          <w:i/>
          <w:sz w:val="24"/>
          <w:szCs w:val="24"/>
          <w:lang w:val="es-ES_tradnl"/>
        </w:rPr>
      </w:pPr>
      <w:r>
        <w:rPr>
          <w:rFonts w:cs="Arial"/>
          <w:b/>
          <w:i/>
          <w:sz w:val="24"/>
          <w:szCs w:val="24"/>
          <w:lang w:val="es-ES_tradnl"/>
        </w:rPr>
        <w:t>PARTE TRES</w:t>
      </w:r>
      <w:r w:rsidR="00C2021A">
        <w:rPr>
          <w:rFonts w:cs="Arial"/>
          <w:b/>
          <w:i/>
          <w:sz w:val="24"/>
          <w:szCs w:val="24"/>
          <w:lang w:val="es-ES_tradnl"/>
        </w:rPr>
        <w:t xml:space="preserve"> – PROGRAMACIÓN HÍDRICA PARA LA GIRH EN LA ADMINISTRCIÓN 2012-2018</w:t>
      </w:r>
      <w:r>
        <w:rPr>
          <w:rFonts w:cs="Arial"/>
          <w:b/>
          <w:i/>
          <w:sz w:val="24"/>
          <w:szCs w:val="24"/>
          <w:lang w:val="es-ES_tradnl"/>
        </w:rPr>
        <w:t xml:space="preserve"> </w:t>
      </w:r>
      <w:r w:rsidR="00CA1F0A">
        <w:rPr>
          <w:rFonts w:cs="Arial"/>
          <w:b/>
          <w:i/>
          <w:sz w:val="24"/>
          <w:szCs w:val="24"/>
          <w:lang w:val="es-ES_tradnl"/>
        </w:rPr>
        <w:t>(Aprox. 25% del tiempo)</w:t>
      </w:r>
    </w:p>
    <w:p w:rsidR="000041B0" w:rsidRPr="00CA1F0A" w:rsidRDefault="002B6544" w:rsidP="00603BDD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 w:rsidRPr="00CA1F0A">
        <w:rPr>
          <w:rFonts w:cs="Arial"/>
          <w:b/>
          <w:sz w:val="24"/>
          <w:szCs w:val="24"/>
          <w:lang w:val="es-ES_tradnl"/>
        </w:rPr>
        <w:t>5</w:t>
      </w:r>
      <w:r w:rsidR="00603BDD" w:rsidRPr="00CA1F0A">
        <w:rPr>
          <w:rFonts w:cs="Arial"/>
          <w:b/>
          <w:sz w:val="24"/>
          <w:szCs w:val="24"/>
          <w:lang w:val="es-ES_tradnl"/>
        </w:rPr>
        <w:t>.</w:t>
      </w:r>
      <w:r w:rsidR="00603BDD" w:rsidRPr="00CA1F0A">
        <w:rPr>
          <w:rFonts w:cs="Arial"/>
          <w:b/>
          <w:sz w:val="24"/>
          <w:szCs w:val="24"/>
          <w:lang w:val="es-ES_tradnl"/>
        </w:rPr>
        <w:tab/>
      </w:r>
      <w:r w:rsidR="000041B0" w:rsidRPr="00CA1F0A">
        <w:rPr>
          <w:rFonts w:cs="Arial"/>
          <w:b/>
          <w:sz w:val="24"/>
          <w:szCs w:val="24"/>
          <w:lang w:val="es-ES_tradnl"/>
        </w:rPr>
        <w:t xml:space="preserve">Marco conceptual para la programación </w:t>
      </w:r>
      <w:proofErr w:type="spellStart"/>
      <w:r w:rsidR="000041B0" w:rsidRPr="00CA1F0A">
        <w:rPr>
          <w:rFonts w:cs="Arial"/>
          <w:b/>
          <w:sz w:val="24"/>
          <w:szCs w:val="24"/>
          <w:lang w:val="es-ES_tradnl"/>
        </w:rPr>
        <w:t>hidríca</w:t>
      </w:r>
      <w:proofErr w:type="spellEnd"/>
      <w:r w:rsidR="000041B0" w:rsidRPr="00CA1F0A">
        <w:rPr>
          <w:rFonts w:cs="Arial"/>
          <w:b/>
          <w:sz w:val="24"/>
          <w:szCs w:val="24"/>
          <w:lang w:val="es-ES_tradnl"/>
        </w:rPr>
        <w:t xml:space="preserve"> en México</w:t>
      </w:r>
    </w:p>
    <w:p w:rsidR="000041B0" w:rsidRPr="00CA1F0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5</w:t>
      </w:r>
      <w:r w:rsidR="00603BDD" w:rsidRPr="00CA1F0A">
        <w:rPr>
          <w:rFonts w:cs="Arial"/>
          <w:sz w:val="24"/>
          <w:szCs w:val="24"/>
          <w:lang w:val="es-ES_tradnl"/>
        </w:rPr>
        <w:t>.1</w:t>
      </w:r>
      <w:r w:rsidR="00603BDD" w:rsidRPr="00CA1F0A">
        <w:rPr>
          <w:rFonts w:cs="Arial"/>
          <w:sz w:val="24"/>
          <w:szCs w:val="24"/>
          <w:lang w:val="es-ES_tradnl"/>
        </w:rPr>
        <w:tab/>
      </w:r>
      <w:r w:rsidR="00884D3C" w:rsidRPr="00CA1F0A">
        <w:rPr>
          <w:rFonts w:cs="Arial"/>
          <w:sz w:val="24"/>
          <w:szCs w:val="24"/>
          <w:lang w:val="es-ES_tradnl"/>
        </w:rPr>
        <w:t xml:space="preserve">Estructura de Planeación, Programación y </w:t>
      </w:r>
      <w:proofErr w:type="spellStart"/>
      <w:r w:rsidR="00884D3C" w:rsidRPr="00CA1F0A">
        <w:rPr>
          <w:rFonts w:cs="Arial"/>
          <w:sz w:val="24"/>
          <w:szCs w:val="24"/>
          <w:lang w:val="es-ES_tradnl"/>
        </w:rPr>
        <w:t>Presupuestación</w:t>
      </w:r>
      <w:proofErr w:type="spellEnd"/>
      <w:r w:rsidR="00884D3C" w:rsidRPr="00CA1F0A">
        <w:rPr>
          <w:rFonts w:cs="Arial"/>
          <w:sz w:val="24"/>
          <w:szCs w:val="24"/>
          <w:lang w:val="es-ES_tradnl"/>
        </w:rPr>
        <w:t xml:space="preserve"> para la GIRH</w:t>
      </w:r>
    </w:p>
    <w:p w:rsidR="00C2021A" w:rsidRPr="00CA1F0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5</w:t>
      </w:r>
      <w:r w:rsidR="000041B0" w:rsidRPr="00CA1F0A">
        <w:rPr>
          <w:rFonts w:cs="Arial"/>
          <w:sz w:val="24"/>
          <w:szCs w:val="24"/>
          <w:lang w:val="es-ES_tradnl"/>
        </w:rPr>
        <w:t>.2</w:t>
      </w:r>
      <w:r w:rsidR="000041B0" w:rsidRPr="00CA1F0A">
        <w:rPr>
          <w:rFonts w:cs="Arial"/>
          <w:sz w:val="24"/>
          <w:szCs w:val="24"/>
          <w:lang w:val="es-ES_tradnl"/>
        </w:rPr>
        <w:tab/>
      </w:r>
      <w:r w:rsidR="00C2021A" w:rsidRPr="00CA1F0A">
        <w:rPr>
          <w:rFonts w:cs="Arial"/>
          <w:sz w:val="24"/>
          <w:szCs w:val="24"/>
          <w:lang w:val="es-ES_tradnl"/>
        </w:rPr>
        <w:t>El agua en el Plan Nacional de Desarrollo</w:t>
      </w:r>
    </w:p>
    <w:p w:rsidR="00603BDD" w:rsidRPr="00CA1F0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5</w:t>
      </w:r>
      <w:r w:rsidR="00C2021A" w:rsidRPr="00CA1F0A">
        <w:rPr>
          <w:rFonts w:cs="Arial"/>
          <w:sz w:val="24"/>
          <w:szCs w:val="24"/>
          <w:lang w:val="es-ES_tradnl"/>
        </w:rPr>
        <w:t>.</w:t>
      </w:r>
      <w:r w:rsidRPr="00CA1F0A">
        <w:rPr>
          <w:rFonts w:cs="Arial"/>
          <w:sz w:val="24"/>
          <w:szCs w:val="24"/>
          <w:lang w:val="es-ES_tradnl"/>
        </w:rPr>
        <w:t>3</w:t>
      </w:r>
      <w:r w:rsidR="00C2021A" w:rsidRPr="00CA1F0A">
        <w:rPr>
          <w:rFonts w:cs="Arial"/>
          <w:sz w:val="24"/>
          <w:szCs w:val="24"/>
          <w:lang w:val="es-ES_tradnl"/>
        </w:rPr>
        <w:tab/>
        <w:t>Análisis del Programa Nacional Hídrico</w:t>
      </w:r>
      <w:r w:rsidR="00884D3C" w:rsidRPr="00CA1F0A">
        <w:rPr>
          <w:rFonts w:cs="Arial"/>
          <w:sz w:val="24"/>
          <w:szCs w:val="24"/>
          <w:lang w:val="es-ES_tradnl"/>
        </w:rPr>
        <w:t xml:space="preserve"> y sus mecanismos de coordinación</w:t>
      </w:r>
    </w:p>
    <w:p w:rsidR="00C2021A" w:rsidRPr="00CA1F0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5</w:t>
      </w:r>
      <w:r w:rsidR="00C2021A" w:rsidRPr="00CA1F0A">
        <w:rPr>
          <w:rFonts w:cs="Arial"/>
          <w:sz w:val="24"/>
          <w:szCs w:val="24"/>
          <w:lang w:val="es-ES_tradnl"/>
        </w:rPr>
        <w:t>.</w:t>
      </w:r>
      <w:r w:rsidRPr="00CA1F0A">
        <w:rPr>
          <w:rFonts w:cs="Arial"/>
          <w:sz w:val="24"/>
          <w:szCs w:val="24"/>
          <w:lang w:val="es-ES_tradnl"/>
        </w:rPr>
        <w:t>4</w:t>
      </w:r>
      <w:r w:rsidR="00C2021A" w:rsidRPr="00CA1F0A">
        <w:rPr>
          <w:rFonts w:cs="Arial"/>
          <w:sz w:val="24"/>
          <w:szCs w:val="24"/>
          <w:lang w:val="es-ES_tradnl"/>
        </w:rPr>
        <w:tab/>
        <w:t>Proceso de programación regional</w:t>
      </w:r>
    </w:p>
    <w:p w:rsidR="00C2021A" w:rsidRDefault="002B6544" w:rsidP="00603BDD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 w:rsidRPr="00CA1F0A">
        <w:rPr>
          <w:rFonts w:cs="Arial"/>
          <w:sz w:val="24"/>
          <w:szCs w:val="24"/>
          <w:lang w:val="es-ES_tradnl"/>
        </w:rPr>
        <w:t>5</w:t>
      </w:r>
      <w:r w:rsidR="00C2021A" w:rsidRPr="00CA1F0A">
        <w:rPr>
          <w:rFonts w:cs="Arial"/>
          <w:sz w:val="24"/>
          <w:szCs w:val="24"/>
          <w:lang w:val="es-ES_tradnl"/>
        </w:rPr>
        <w:t>.</w:t>
      </w:r>
      <w:r w:rsidRPr="00CA1F0A">
        <w:rPr>
          <w:rFonts w:cs="Arial"/>
          <w:sz w:val="24"/>
          <w:szCs w:val="24"/>
          <w:lang w:val="es-ES_tradnl"/>
        </w:rPr>
        <w:t>5</w:t>
      </w:r>
      <w:r w:rsidR="00C2021A" w:rsidRPr="00CA1F0A">
        <w:rPr>
          <w:rFonts w:cs="Arial"/>
          <w:sz w:val="24"/>
          <w:szCs w:val="24"/>
          <w:lang w:val="es-ES_tradnl"/>
        </w:rPr>
        <w:tab/>
        <w:t>Mecanismo de planeación y proceso de programación en Conagua</w:t>
      </w:r>
    </w:p>
    <w:p w:rsidR="00C2021A" w:rsidRDefault="002B6544" w:rsidP="00C2021A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6</w:t>
      </w:r>
      <w:r w:rsidR="00C2021A">
        <w:rPr>
          <w:rFonts w:cs="Arial"/>
          <w:b/>
          <w:sz w:val="24"/>
          <w:szCs w:val="24"/>
          <w:lang w:val="es-ES_tradnl"/>
        </w:rPr>
        <w:t>.</w:t>
      </w:r>
      <w:r w:rsidR="00C2021A">
        <w:rPr>
          <w:rFonts w:cs="Arial"/>
          <w:b/>
          <w:sz w:val="24"/>
          <w:szCs w:val="24"/>
          <w:lang w:val="es-ES_tradnl"/>
        </w:rPr>
        <w:tab/>
      </w:r>
      <w:r w:rsidR="00A21566">
        <w:rPr>
          <w:rFonts w:cs="Arial"/>
          <w:b/>
          <w:sz w:val="24"/>
          <w:szCs w:val="24"/>
          <w:lang w:val="es-ES_tradnl"/>
        </w:rPr>
        <w:t>Marco programático de la Dirección Local Querétaro</w:t>
      </w:r>
    </w:p>
    <w:p w:rsidR="00A21566" w:rsidRDefault="002B6544" w:rsidP="00A21566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6</w:t>
      </w:r>
      <w:r w:rsidR="00A21566">
        <w:rPr>
          <w:rFonts w:cs="Arial"/>
          <w:sz w:val="24"/>
          <w:szCs w:val="24"/>
          <w:lang w:val="es-ES_tradnl"/>
        </w:rPr>
        <w:t>.1</w:t>
      </w:r>
      <w:r w:rsidR="00A21566">
        <w:rPr>
          <w:rFonts w:cs="Arial"/>
          <w:sz w:val="24"/>
          <w:szCs w:val="24"/>
          <w:lang w:val="es-ES_tradnl"/>
        </w:rPr>
        <w:tab/>
        <w:t>Antecedentes de la planeación y programación regional y local en Querétaro</w:t>
      </w:r>
    </w:p>
    <w:p w:rsidR="00A21566" w:rsidRDefault="002B6544" w:rsidP="00A21566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6</w:t>
      </w:r>
      <w:r w:rsidR="00A21566">
        <w:rPr>
          <w:rFonts w:cs="Arial"/>
          <w:sz w:val="24"/>
          <w:szCs w:val="24"/>
          <w:lang w:val="es-ES_tradnl"/>
        </w:rPr>
        <w:t>.2</w:t>
      </w:r>
      <w:r w:rsidR="00A21566">
        <w:rPr>
          <w:rFonts w:cs="Arial"/>
          <w:sz w:val="24"/>
          <w:szCs w:val="24"/>
          <w:lang w:val="es-ES_tradnl"/>
        </w:rPr>
        <w:tab/>
        <w:t>El Plan Estatal de Desarrollo y la estructura de las prioridades locales</w:t>
      </w:r>
    </w:p>
    <w:p w:rsidR="00A21566" w:rsidRDefault="002B6544" w:rsidP="00A21566">
      <w:pPr>
        <w:tabs>
          <w:tab w:val="left" w:pos="960"/>
        </w:tabs>
        <w:spacing w:before="60" w:after="60" w:line="22" w:lineRule="atLeast"/>
        <w:ind w:left="960" w:hanging="60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6</w:t>
      </w:r>
      <w:r w:rsidR="00A21566">
        <w:rPr>
          <w:rFonts w:cs="Arial"/>
          <w:sz w:val="24"/>
          <w:szCs w:val="24"/>
          <w:lang w:val="es-ES_tradnl"/>
        </w:rPr>
        <w:t>.3</w:t>
      </w:r>
      <w:r w:rsidR="00A21566">
        <w:rPr>
          <w:rFonts w:cs="Arial"/>
          <w:sz w:val="24"/>
          <w:szCs w:val="24"/>
          <w:lang w:val="es-ES_tradnl"/>
        </w:rPr>
        <w:tab/>
        <w:t>Principales metas de la administración para la Dirección Local Querétaro</w:t>
      </w:r>
    </w:p>
    <w:p w:rsidR="00A21566" w:rsidRPr="00A21566" w:rsidRDefault="002B6544" w:rsidP="00A21566">
      <w:pPr>
        <w:tabs>
          <w:tab w:val="left" w:pos="360"/>
          <w:tab w:val="left" w:pos="720"/>
        </w:tabs>
        <w:spacing w:before="60" w:after="60" w:line="22" w:lineRule="atLeast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7</w:t>
      </w:r>
      <w:r w:rsidR="00A21566">
        <w:rPr>
          <w:rFonts w:cs="Arial"/>
          <w:b/>
          <w:sz w:val="24"/>
          <w:szCs w:val="24"/>
          <w:lang w:val="es-ES_tradnl"/>
        </w:rPr>
        <w:t>.</w:t>
      </w:r>
      <w:r w:rsidR="00A21566">
        <w:rPr>
          <w:rFonts w:cs="Arial"/>
          <w:b/>
          <w:sz w:val="24"/>
          <w:szCs w:val="24"/>
          <w:lang w:val="es-ES_tradnl"/>
        </w:rPr>
        <w:tab/>
        <w:t>Conclusiones – implicaciones de la GIRH para la Dirección Local Querétaro</w:t>
      </w:r>
    </w:p>
    <w:p w:rsidR="00CA1F0A" w:rsidRDefault="00CA1F0A">
      <w:pPr>
        <w:rPr>
          <w:lang w:val="es-ES_tradnl"/>
        </w:rPr>
      </w:pPr>
    </w:p>
    <w:p w:rsidR="00603BDD" w:rsidRPr="00F87085" w:rsidRDefault="00603BDD" w:rsidP="00F87085">
      <w:pPr>
        <w:shd w:val="clear" w:color="auto" w:fill="ED7D31" w:themeFill="accent2"/>
        <w:rPr>
          <w:b/>
          <w:color w:val="FFFFFF" w:themeColor="background1"/>
          <w:sz w:val="28"/>
        </w:rPr>
      </w:pPr>
      <w:r w:rsidRPr="00F87085">
        <w:rPr>
          <w:b/>
          <w:color w:val="FFFFFF" w:themeColor="background1"/>
          <w:sz w:val="28"/>
        </w:rPr>
        <w:t>Bibliografía</w:t>
      </w:r>
    </w:p>
    <w:p w:rsidR="00603BDD" w:rsidRDefault="00603BDD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Constitución Política de los Estados Unidos Mexicanos</w:t>
      </w:r>
    </w:p>
    <w:p w:rsidR="00603BDD" w:rsidRDefault="00603BDD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Ley de </w:t>
      </w:r>
      <w:r w:rsidR="003871F7">
        <w:rPr>
          <w:rFonts w:cs="Arial"/>
          <w:sz w:val="24"/>
          <w:szCs w:val="24"/>
          <w:lang w:val="es-ES_tradnl"/>
        </w:rPr>
        <w:t>Aguas Nacionales y su Reglamento</w:t>
      </w:r>
    </w:p>
    <w:p w:rsidR="00603BDD" w:rsidRDefault="003871F7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Ley Federal de Derechos (en materia de aguas nacionales)</w:t>
      </w:r>
    </w:p>
    <w:p w:rsidR="00603BDD" w:rsidRDefault="00603BDD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Políticas, bases y lineamientos de </w:t>
      </w:r>
      <w:r w:rsidR="003871F7">
        <w:rPr>
          <w:rFonts w:cs="Arial"/>
          <w:sz w:val="24"/>
          <w:szCs w:val="24"/>
          <w:lang w:val="es-ES_tradnl"/>
        </w:rPr>
        <w:t>la SHCP y CONAGUA en materia de planeación y programación</w:t>
      </w:r>
    </w:p>
    <w:p w:rsidR="00603BDD" w:rsidRDefault="003871F7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Manuales de organización de CONAGUA</w:t>
      </w:r>
    </w:p>
    <w:p w:rsidR="00603BDD" w:rsidRDefault="00603BDD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Normatividad aplicable</w:t>
      </w:r>
    </w:p>
    <w:p w:rsidR="003871F7" w:rsidRPr="003871F7" w:rsidRDefault="003871F7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  <w:lang w:val="en-US"/>
        </w:rPr>
      </w:pPr>
      <w:r w:rsidRPr="003871F7">
        <w:rPr>
          <w:rFonts w:cs="Arial"/>
          <w:sz w:val="24"/>
          <w:szCs w:val="24"/>
          <w:lang w:val="en-US"/>
        </w:rPr>
        <w:t>GWP, A Handbook for Integrated Water Resources Management in Basins</w:t>
      </w:r>
      <w:r>
        <w:rPr>
          <w:rFonts w:cs="Arial"/>
          <w:sz w:val="24"/>
          <w:szCs w:val="24"/>
          <w:lang w:val="en-US"/>
        </w:rPr>
        <w:t xml:space="preserve"> (CD ROM)</w:t>
      </w:r>
    </w:p>
    <w:p w:rsidR="003871F7" w:rsidRDefault="003871F7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</w:rPr>
      </w:pPr>
      <w:r w:rsidRPr="003871F7">
        <w:rPr>
          <w:rFonts w:cs="Arial"/>
          <w:sz w:val="24"/>
          <w:szCs w:val="24"/>
        </w:rPr>
        <w:t xml:space="preserve">UNDP </w:t>
      </w:r>
      <w:proofErr w:type="spellStart"/>
      <w:r w:rsidRPr="003871F7">
        <w:rPr>
          <w:rFonts w:cs="Arial"/>
          <w:sz w:val="24"/>
          <w:szCs w:val="24"/>
        </w:rPr>
        <w:t>Cap</w:t>
      </w:r>
      <w:proofErr w:type="spellEnd"/>
      <w:r w:rsidRPr="003871F7">
        <w:rPr>
          <w:rFonts w:cs="Arial"/>
          <w:sz w:val="24"/>
          <w:szCs w:val="24"/>
        </w:rPr>
        <w:t>-Net, Tutorial sobre los principios b</w:t>
      </w:r>
      <w:r>
        <w:rPr>
          <w:rFonts w:cs="Arial"/>
          <w:sz w:val="24"/>
          <w:szCs w:val="24"/>
        </w:rPr>
        <w:t>ásicos de la gestión integrada de los recursos hídricos (CD ROM)</w:t>
      </w:r>
    </w:p>
    <w:p w:rsidR="003871F7" w:rsidRPr="003871F7" w:rsidRDefault="003871F7" w:rsidP="00603BDD">
      <w:pPr>
        <w:numPr>
          <w:ilvl w:val="0"/>
          <w:numId w:val="6"/>
        </w:numPr>
        <w:spacing w:before="60" w:after="60" w:line="22" w:lineRule="atLeast"/>
        <w:ind w:left="567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UNDP </w:t>
      </w:r>
      <w:proofErr w:type="spellStart"/>
      <w:r>
        <w:rPr>
          <w:rFonts w:cs="Arial"/>
          <w:sz w:val="24"/>
          <w:szCs w:val="24"/>
        </w:rPr>
        <w:t>Cap</w:t>
      </w:r>
      <w:proofErr w:type="spellEnd"/>
      <w:r>
        <w:rPr>
          <w:rFonts w:cs="Arial"/>
          <w:sz w:val="24"/>
          <w:szCs w:val="24"/>
        </w:rPr>
        <w:t>-Net, Aspectos económicos en la gestión sostenible del agua (CD ROM)</w:t>
      </w:r>
    </w:p>
    <w:p w:rsidR="0041104E" w:rsidRPr="003871F7" w:rsidRDefault="0041104E" w:rsidP="00603BDD"/>
    <w:sectPr w:rsidR="0041104E" w:rsidRPr="003871F7" w:rsidSect="00603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92" w:rsidRDefault="00EE4792" w:rsidP="00603BDD">
      <w:pPr>
        <w:spacing w:after="0" w:line="240" w:lineRule="auto"/>
      </w:pPr>
      <w:r>
        <w:separator/>
      </w:r>
    </w:p>
  </w:endnote>
  <w:endnote w:type="continuationSeparator" w:id="0">
    <w:p w:rsidR="00EE4792" w:rsidRDefault="00EE4792" w:rsidP="0060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4E" w:rsidRDefault="004110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DD" w:rsidRDefault="00603BDD" w:rsidP="00603BDD">
    <w:pPr>
      <w:pStyle w:val="Piedepgina"/>
      <w:pBdr>
        <w:top w:val="single" w:sz="4" w:space="1" w:color="auto"/>
      </w:pBdr>
    </w:pPr>
    <w:r>
      <w:t>PROPUESTA EN REVISION</w:t>
    </w:r>
    <w:r>
      <w:tab/>
    </w:r>
    <w:r>
      <w:fldChar w:fldCharType="begin"/>
    </w:r>
    <w:r>
      <w:instrText>PAGE   \* MERGEFORMAT</w:instrText>
    </w:r>
    <w:r>
      <w:fldChar w:fldCharType="separate"/>
    </w:r>
    <w:r w:rsidR="005D24C2" w:rsidRPr="005D24C2">
      <w:rPr>
        <w:noProof/>
        <w:lang w:val="es-ES"/>
      </w:rPr>
      <w:t>1</w:t>
    </w:r>
    <w:r>
      <w:fldChar w:fldCharType="end"/>
    </w:r>
    <w:r>
      <w:tab/>
    </w:r>
    <w:r>
      <w:fldChar w:fldCharType="begin"/>
    </w:r>
    <w:r>
      <w:instrText xml:space="preserve"> TIME \@ "dd/MM/yy" </w:instrText>
    </w:r>
    <w:r>
      <w:fldChar w:fldCharType="separate"/>
    </w:r>
    <w:r w:rsidR="005D24C2">
      <w:rPr>
        <w:noProof/>
      </w:rPr>
      <w:t>01/08/14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4E" w:rsidRDefault="004110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92" w:rsidRDefault="00EE4792" w:rsidP="00603BDD">
      <w:pPr>
        <w:spacing w:after="0" w:line="240" w:lineRule="auto"/>
      </w:pPr>
      <w:r>
        <w:separator/>
      </w:r>
    </w:p>
  </w:footnote>
  <w:footnote w:type="continuationSeparator" w:id="0">
    <w:p w:rsidR="00EE4792" w:rsidRDefault="00EE4792" w:rsidP="0060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4E" w:rsidRDefault="00EE47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6275" o:spid="_x0000_s2050" type="#_x0000_t75" style="position:absolute;margin-left:0;margin-top:0;width:441.8pt;height:268.5pt;z-index:-251657216;mso-position-horizontal:center;mso-position-horizontal-relative:margin;mso-position-vertical:center;mso-position-vertical-relative:margin" o:allowincell="f">
          <v:imagedata r:id="rId1" o:title="Sextante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DD" w:rsidRDefault="00EE4792" w:rsidP="00603BDD">
    <w:pPr>
      <w:pStyle w:val="Encabezado"/>
      <w:pBdr>
        <w:bottom w:val="single" w:sz="4" w:space="1" w:color="auto"/>
      </w:pBdr>
      <w:spacing w:after="240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6276" o:spid="_x0000_s2051" type="#_x0000_t75" style="position:absolute;margin-left:0;margin-top:0;width:441.8pt;height:268.5pt;z-index:-251656192;mso-position-horizontal:center;mso-position-horizontal-relative:margin;mso-position-vertical:center;mso-position-vertical-relative:margin" o:allowincell="f">
          <v:imagedata r:id="rId1" o:title="Sextante color" gain="19661f" blacklevel="22938f"/>
          <w10:wrap anchorx="margin" anchory="margin"/>
        </v:shape>
      </w:pict>
    </w:r>
    <w:r w:rsidR="00603BDD">
      <w:rPr>
        <w:noProof/>
        <w:lang w:eastAsia="es-MX"/>
      </w:rPr>
      <w:drawing>
        <wp:inline distT="0" distB="0" distL="0" distR="0">
          <wp:extent cx="1078992" cy="65532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xtante color 25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BDD">
      <w:tab/>
    </w:r>
    <w:r w:rsidR="00603BDD">
      <w:tab/>
    </w:r>
    <w:r w:rsidR="00603BDD">
      <w:rPr>
        <w:noProof/>
        <w:lang w:eastAsia="es-MX"/>
      </w:rPr>
      <w:drawing>
        <wp:inline distT="0" distB="0" distL="0" distR="0">
          <wp:extent cx="1678512" cy="57617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agua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32" cy="58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4E" w:rsidRDefault="00EE47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6274" o:spid="_x0000_s2049" type="#_x0000_t75" style="position:absolute;margin-left:0;margin-top:0;width:441.8pt;height:268.5pt;z-index:-251658240;mso-position-horizontal:center;mso-position-horizontal-relative:margin;mso-position-vertical:center;mso-position-vertical-relative:margin" o:allowincell="f">
          <v:imagedata r:id="rId1" o:title="Sextante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5DB7"/>
    <w:multiLevelType w:val="hybridMultilevel"/>
    <w:tmpl w:val="C28E3A3E"/>
    <w:lvl w:ilvl="0" w:tplc="B03EA6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70543"/>
    <w:multiLevelType w:val="hybridMultilevel"/>
    <w:tmpl w:val="F948F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16F"/>
    <w:multiLevelType w:val="hybridMultilevel"/>
    <w:tmpl w:val="5EB24368"/>
    <w:lvl w:ilvl="0" w:tplc="B03EA6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11C"/>
    <w:multiLevelType w:val="hybridMultilevel"/>
    <w:tmpl w:val="7B168C4E"/>
    <w:lvl w:ilvl="0" w:tplc="B03EA6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24DD"/>
    <w:multiLevelType w:val="hybridMultilevel"/>
    <w:tmpl w:val="E3C0C046"/>
    <w:lvl w:ilvl="0" w:tplc="B03EA6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7EFD"/>
    <w:multiLevelType w:val="hybridMultilevel"/>
    <w:tmpl w:val="F2A0A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1C3E"/>
    <w:multiLevelType w:val="hybridMultilevel"/>
    <w:tmpl w:val="6EA6595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D"/>
    <w:rsid w:val="000041B0"/>
    <w:rsid w:val="002B6544"/>
    <w:rsid w:val="003871F7"/>
    <w:rsid w:val="003F41DA"/>
    <w:rsid w:val="0041104E"/>
    <w:rsid w:val="004606B8"/>
    <w:rsid w:val="005A586D"/>
    <w:rsid w:val="005D24C2"/>
    <w:rsid w:val="00603BDD"/>
    <w:rsid w:val="007D7D63"/>
    <w:rsid w:val="00834EFD"/>
    <w:rsid w:val="00884D3C"/>
    <w:rsid w:val="00A10B6A"/>
    <w:rsid w:val="00A21566"/>
    <w:rsid w:val="00A3237B"/>
    <w:rsid w:val="00C2021A"/>
    <w:rsid w:val="00C46E0C"/>
    <w:rsid w:val="00CA1F0A"/>
    <w:rsid w:val="00CD25B4"/>
    <w:rsid w:val="00DB4A41"/>
    <w:rsid w:val="00E07E90"/>
    <w:rsid w:val="00E94167"/>
    <w:rsid w:val="00ED2D8E"/>
    <w:rsid w:val="00EE4792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B93337-AB83-4399-BA16-F7A215B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7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DD"/>
  </w:style>
  <w:style w:type="paragraph" w:styleId="Piedepgina">
    <w:name w:val="footer"/>
    <w:basedOn w:val="Normal"/>
    <w:link w:val="PiedepginaCar"/>
    <w:uiPriority w:val="99"/>
    <w:unhideWhenUsed/>
    <w:rsid w:val="00603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DD"/>
  </w:style>
  <w:style w:type="table" w:styleId="Tablaconcuadrcula">
    <w:name w:val="Table Grid"/>
    <w:basedOn w:val="Tablanormal"/>
    <w:uiPriority w:val="39"/>
    <w:rsid w:val="0060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3BDD"/>
    <w:pPr>
      <w:ind w:left="720"/>
      <w:contextualSpacing/>
    </w:pPr>
  </w:style>
  <w:style w:type="table" w:styleId="Tabladecuadrcula4-nfasis2">
    <w:name w:val="Grid Table 4 Accent 2"/>
    <w:basedOn w:val="Tablanormal"/>
    <w:uiPriority w:val="49"/>
    <w:rsid w:val="00F87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F87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F87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87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7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70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Sandoval Minero</dc:creator>
  <cp:keywords/>
  <dc:description/>
  <cp:lastModifiedBy>Ricardo Sandoval Minero</cp:lastModifiedBy>
  <cp:revision>6</cp:revision>
  <cp:lastPrinted>2014-08-01T19:10:00Z</cp:lastPrinted>
  <dcterms:created xsi:type="dcterms:W3CDTF">2014-08-01T17:56:00Z</dcterms:created>
  <dcterms:modified xsi:type="dcterms:W3CDTF">2014-08-01T19:46:00Z</dcterms:modified>
</cp:coreProperties>
</file>